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lang w:val="uk-UA"/>
        </w:rPr>
      </w:pPr>
      <w:r>
        <w:rPr>
          <w:b/>
          <w:sz w:val="24"/>
          <w:szCs w:val="24"/>
          <w:lang w:val="uk-UA"/>
        </w:rPr>
        <w:t>Повідомлення про скликання річних загальних зборів акціонерів</w:t>
      </w:r>
    </w:p>
    <w:p>
      <w:pPr>
        <w:pStyle w:val="Normal"/>
        <w:jc w:val="center"/>
        <w:rPr>
          <w:b/>
          <w:b/>
          <w:sz w:val="24"/>
          <w:szCs w:val="24"/>
          <w:lang w:val="uk-UA"/>
        </w:rPr>
      </w:pPr>
      <w:r>
        <w:rPr>
          <w:b/>
          <w:sz w:val="24"/>
          <w:szCs w:val="24"/>
          <w:lang w:val="uk-UA"/>
        </w:rPr>
        <w:t>ПРИВАТНОГО АКЦІОНЕРНОГО ТОВАРИСТВА</w:t>
      </w:r>
    </w:p>
    <w:p>
      <w:pPr>
        <w:pStyle w:val="Normal"/>
        <w:jc w:val="center"/>
        <w:rPr>
          <w:b/>
          <w:b/>
          <w:sz w:val="24"/>
          <w:szCs w:val="24"/>
          <w:lang w:val="uk-UA"/>
        </w:rPr>
      </w:pPr>
      <w:r>
        <w:rPr>
          <w:b/>
          <w:sz w:val="24"/>
          <w:szCs w:val="24"/>
          <w:lang w:val="uk-UA"/>
        </w:rPr>
        <w:t>«КОМПАНІЯ КИЇВЕНЕРГОХОЛДИНГ»</w:t>
      </w:r>
    </w:p>
    <w:p>
      <w:pPr>
        <w:pStyle w:val="Normal"/>
        <w:jc w:val="center"/>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Шановні акціонери</w:t>
      </w:r>
    </w:p>
    <w:p>
      <w:pPr>
        <w:pStyle w:val="Normal"/>
        <w:jc w:val="center"/>
        <w:rPr>
          <w:b/>
          <w:b/>
          <w:sz w:val="24"/>
          <w:szCs w:val="24"/>
          <w:lang w:val="uk-UA"/>
        </w:rPr>
      </w:pPr>
      <w:r>
        <w:rPr>
          <w:b/>
          <w:sz w:val="24"/>
          <w:szCs w:val="24"/>
          <w:lang w:val="uk-UA"/>
        </w:rPr>
        <w:t>ПРИВАТНОГО АКЦІОНЕРНОГО ТОВАРИСТВА</w:t>
      </w:r>
    </w:p>
    <w:p>
      <w:pPr>
        <w:pStyle w:val="Normal"/>
        <w:jc w:val="center"/>
        <w:rPr>
          <w:b/>
          <w:b/>
          <w:sz w:val="24"/>
          <w:szCs w:val="24"/>
          <w:lang w:val="uk-UA"/>
        </w:rPr>
      </w:pPr>
      <w:r>
        <w:rPr>
          <w:b/>
          <w:sz w:val="24"/>
          <w:szCs w:val="24"/>
          <w:lang w:val="uk-UA"/>
        </w:rPr>
        <w:t>«КОМПАНІЯ КИЇВЕНЕРГОХОЛДИНГ» !</w:t>
      </w:r>
    </w:p>
    <w:p>
      <w:pPr>
        <w:pStyle w:val="Normal"/>
        <w:ind w:firstLine="709"/>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Повідомляємо, що приватне акціонерне товариство «Компанія Київенергохолдинг» (код ЄДРПОУ 34239322, адреса місцезнаходження 03083, м. Київ, пр. Науки, 54-б, надалі - Товариство) скликає та проводить </w:t>
      </w:r>
      <w:r>
        <w:rPr>
          <w:b/>
          <w:sz w:val="24"/>
          <w:szCs w:val="24"/>
          <w:lang w:val="uk-UA"/>
        </w:rPr>
        <w:t>дистанційні</w:t>
      </w:r>
      <w:r>
        <w:rPr>
          <w:sz w:val="24"/>
          <w:szCs w:val="24"/>
          <w:lang w:val="uk-UA"/>
        </w:rPr>
        <w:t xml:space="preserve"> річні загальні збори акціонерів Товариства (надалі – загальні збори Товариства)</w:t>
      </w:r>
      <w:r>
        <w:rPr>
          <w:b/>
          <w:sz w:val="24"/>
          <w:szCs w:val="24"/>
          <w:lang w:val="uk-UA"/>
        </w:rPr>
        <w:t xml:space="preserve"> 28 квітня 2023 року</w:t>
      </w:r>
      <w:r>
        <w:rPr>
          <w:sz w:val="24"/>
          <w:szCs w:val="24"/>
          <w:lang w:val="uk-UA"/>
        </w:rPr>
        <w:t xml:space="preserve">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w:t>
      </w:r>
    </w:p>
    <w:p>
      <w:pPr>
        <w:pStyle w:val="Normal"/>
        <w:ind w:firstLine="567"/>
        <w:jc w:val="both"/>
        <w:rPr>
          <w:sz w:val="24"/>
          <w:szCs w:val="24"/>
          <w:lang w:val="uk-UA"/>
        </w:rPr>
      </w:pPr>
      <w:r>
        <w:rPr>
          <w:sz w:val="24"/>
          <w:szCs w:val="24"/>
          <w:lang w:val="uk-UA"/>
        </w:rPr>
      </w:r>
    </w:p>
    <w:p>
      <w:pPr>
        <w:pStyle w:val="Normal"/>
        <w:ind w:firstLine="567"/>
        <w:jc w:val="both"/>
        <w:rPr/>
      </w:pPr>
      <w:r>
        <w:rPr>
          <w:sz w:val="24"/>
          <w:szCs w:val="24"/>
          <w:lang w:val="uk-UA"/>
        </w:rPr>
        <w:t xml:space="preserve">Бюлетені для голосування у вільному для акціонерів доступі будуть розміщені на власному веб-сайті Товариства </w:t>
      </w:r>
      <w:hyperlink r:id="rId2">
        <w:r>
          <w:rPr>
            <w:rStyle w:val="Style14"/>
            <w:sz w:val="24"/>
            <w:szCs w:val="24"/>
            <w:lang w:val="uk-UA"/>
          </w:rPr>
          <w:t>http://kievenergoholding.com.ua</w:t>
        </w:r>
      </w:hyperlink>
      <w:r>
        <w:rPr>
          <w:sz w:val="24"/>
          <w:szCs w:val="24"/>
          <w:lang w:val="uk-UA"/>
        </w:rPr>
        <w:t xml:space="preserve">  </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18 квітня 2023 року - дата розміщення єдиного бюлетеню для голосування (щодо інших питань порядку денного, крім обрання органів товариства). </w:t>
      </w:r>
    </w:p>
    <w:p>
      <w:pPr>
        <w:pStyle w:val="Normal"/>
        <w:ind w:firstLine="567"/>
        <w:jc w:val="both"/>
        <w:rPr>
          <w:sz w:val="24"/>
          <w:szCs w:val="24"/>
          <w:lang w:val="uk-UA"/>
        </w:rPr>
      </w:pPr>
      <w:r>
        <w:rPr>
          <w:sz w:val="24"/>
          <w:szCs w:val="24"/>
          <w:lang w:val="uk-UA"/>
        </w:rPr>
        <w:t xml:space="preserve">24 квітня 2023 року - дата розміщення бюлетеню для кумулятивного голосування щодо обрання органів Товариства. </w:t>
      </w:r>
    </w:p>
    <w:p>
      <w:pPr>
        <w:pStyle w:val="Normal"/>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Датою дистанційного проведення річних загальних зборів акціонерів Товариства (дата завершення голосування) є 28 квітня 2023 року.</w:t>
      </w:r>
    </w:p>
    <w:p>
      <w:pPr>
        <w:pStyle w:val="Normal"/>
        <w:ind w:firstLine="567"/>
        <w:jc w:val="both"/>
        <w:rPr>
          <w:sz w:val="24"/>
          <w:szCs w:val="24"/>
          <w:lang w:val="uk-UA"/>
        </w:rPr>
      </w:pPr>
      <w:r>
        <w:rPr>
          <w:sz w:val="24"/>
          <w:szCs w:val="24"/>
          <w:lang w:val="uk-UA"/>
        </w:rPr>
        <w:t>Бюлетені для голосування на загальних зборах приймаються виключно до 18-00 дати завершення голосування (до 18-00 28 квітня 2023 року).</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Перелік акціонерів, які мають право на участь у загальних зборах скласти станом на 23 годину 25 квітня 2023 року.</w:t>
      </w:r>
    </w:p>
    <w:p>
      <w:pPr>
        <w:pStyle w:val="Normal"/>
        <w:ind w:firstLine="567"/>
        <w:jc w:val="both"/>
        <w:rPr>
          <w:sz w:val="24"/>
          <w:szCs w:val="24"/>
          <w:lang w:val="uk-UA"/>
        </w:rPr>
      </w:pPr>
      <w:r>
        <w:rPr>
          <w:sz w:val="24"/>
          <w:szCs w:val="24"/>
          <w:lang w:val="uk-UA"/>
        </w:rPr>
      </w:r>
    </w:p>
    <w:p>
      <w:pPr>
        <w:pStyle w:val="Normal"/>
        <w:ind w:firstLine="567"/>
        <w:jc w:val="both"/>
        <w:rPr>
          <w:b/>
          <w:b/>
          <w:sz w:val="24"/>
          <w:szCs w:val="24"/>
          <w:lang w:val="uk-UA"/>
        </w:rPr>
      </w:pPr>
      <w:r>
        <w:rPr>
          <w:b/>
          <w:sz w:val="24"/>
          <w:szCs w:val="24"/>
          <w:lang w:val="uk-UA"/>
        </w:rPr>
        <w:t xml:space="preserve">Проект порядку денного загальних зборів Товариства: </w:t>
      </w:r>
    </w:p>
    <w:p>
      <w:pPr>
        <w:pStyle w:val="Normal"/>
        <w:ind w:firstLine="567"/>
        <w:jc w:val="both"/>
        <w:rPr>
          <w:b/>
          <w:b/>
          <w:sz w:val="24"/>
          <w:szCs w:val="24"/>
          <w:lang w:val="uk-UA"/>
        </w:rPr>
      </w:pPr>
      <w:r>
        <w:rPr>
          <w:b/>
          <w:sz w:val="24"/>
          <w:szCs w:val="24"/>
          <w:lang w:val="uk-UA"/>
        </w:rPr>
      </w:r>
    </w:p>
    <w:tbl>
      <w:tblPr>
        <w:tblStyle w:val="a9"/>
        <w:tblW w:w="10485" w:type="dxa"/>
        <w:jc w:val="left"/>
        <w:tblInd w:w="0" w:type="dxa"/>
        <w:tblCellMar>
          <w:top w:w="0" w:type="dxa"/>
          <w:left w:w="108" w:type="dxa"/>
          <w:bottom w:w="0" w:type="dxa"/>
          <w:right w:w="108" w:type="dxa"/>
        </w:tblCellMar>
        <w:tblLook w:firstRow="1" w:noVBand="1" w:lastRow="0" w:firstColumn="1" w:lastColumn="0" w:noHBand="0" w:val="04a0"/>
      </w:tblPr>
      <w:tblGrid>
        <w:gridCol w:w="561"/>
        <w:gridCol w:w="4536"/>
        <w:gridCol w:w="5388"/>
      </w:tblGrid>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п/п</w:t>
            </w:r>
          </w:p>
        </w:tc>
        <w:tc>
          <w:tcPr>
            <w:tcW w:w="4536"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 xml:space="preserve">Питання проекту порядку денного </w:t>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Проект рішення</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1</w:t>
            </w:r>
          </w:p>
        </w:tc>
        <w:tc>
          <w:tcPr>
            <w:tcW w:w="4536"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Звіт Генерального директора Товариства за 2022  рік та прийняття рішення за наслідками розгляду звіту  Генерального директора</w:t>
            </w:r>
            <w:r>
              <w:rPr>
                <w:rFonts w:cs="Times New Roman" w:ascii="Times New Roman" w:hAnsi="Times New Roman"/>
                <w:color w:val="FF0000"/>
                <w:sz w:val="24"/>
                <w:szCs w:val="24"/>
                <w:lang w:val="uk-UA"/>
              </w:rPr>
              <w:t xml:space="preserve"> </w:t>
            </w:r>
            <w:r>
              <w:rPr>
                <w:rFonts w:cs="Times New Roman" w:ascii="Times New Roman" w:hAnsi="Times New Roman"/>
                <w:sz w:val="24"/>
                <w:szCs w:val="24"/>
                <w:lang w:val="uk-UA"/>
              </w:rPr>
              <w:t>Товариства за 2022 рік.</w:t>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звіт Генерального директора Товариства за 2022 рік.</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2</w:t>
            </w:r>
          </w:p>
        </w:tc>
        <w:tc>
          <w:tcPr>
            <w:tcW w:w="4536"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sz w:val="24"/>
                <w:szCs w:val="24"/>
                <w:lang w:val="uk-UA"/>
              </w:rPr>
              <w:t>Звіт Наглядової ради Товариства за 2022  рік та прийняття рішення за наслідками розгляду звіту Наглядової ради Товариства за 2022  рік.</w:t>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звіт Наглядової ради Товариства за 2022 рік.</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3</w:t>
            </w:r>
          </w:p>
        </w:tc>
        <w:tc>
          <w:tcPr>
            <w:tcW w:w="4536"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sz w:val="24"/>
                <w:szCs w:val="24"/>
                <w:lang w:val="uk-UA"/>
              </w:rPr>
              <w:t>Звіт (висновки) Ревізійної комісії Товариства за 2022  рік та прийняття рішення за наслідками розгляду звіту (висновків) Ревізійної комісії Товариства за 2022  рік.</w:t>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звіт Ревізійної комісії Товариства за 2022 рік.</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4</w:t>
            </w:r>
          </w:p>
        </w:tc>
        <w:tc>
          <w:tcPr>
            <w:tcW w:w="4536"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sz w:val="24"/>
                <w:szCs w:val="24"/>
                <w:lang w:val="uk-UA"/>
              </w:rPr>
              <w:t>Затвердження річного звіту (річної фінансової звітності) Товариства за 2022  рік, затвердження порядку розподілу прибутку (покриття збитків) Товариства за 2022 рік та прийняття рішення про виплату дивідендів.</w:t>
            </w:r>
          </w:p>
        </w:tc>
        <w:tc>
          <w:tcPr>
            <w:tcW w:w="5388" w:type="dxa"/>
            <w:tcBorders/>
            <w:shd w:fill="auto" w:val="clear"/>
            <w:tcMar>
              <w:left w:w="108" w:type="dxa"/>
            </w:tcMar>
          </w:tcPr>
          <w:p>
            <w:pPr>
              <w:pStyle w:val="NoSpacing"/>
              <w:spacing w:lineRule="auto" w:line="240" w:before="0" w:after="0"/>
              <w:rPr>
                <w:rFonts w:ascii="Times New Roman" w:hAnsi="Times New Roman" w:cs="Times New Roman"/>
                <w:i/>
                <w:i/>
                <w:sz w:val="24"/>
                <w:szCs w:val="24"/>
              </w:rPr>
            </w:pPr>
            <w:r>
              <w:rPr>
                <w:rFonts w:cs="Times New Roman" w:ascii="Times New Roman" w:hAnsi="Times New Roman"/>
                <w:i/>
                <w:sz w:val="24"/>
                <w:szCs w:val="24"/>
                <w:lang w:val="uk-UA"/>
              </w:rPr>
              <w:t>-Затвердити річний звіт (річну фінансову звітність) Товариства за 2022 рік;</w:t>
            </w:r>
          </w:p>
          <w:p>
            <w:pPr>
              <w:pStyle w:val="NoSpacing"/>
              <w:spacing w:lineRule="auto" w:line="240" w:before="0" w:after="0"/>
              <w:rPr>
                <w:rFonts w:ascii="Times New Roman" w:hAnsi="Times New Roman" w:cs="Times New Roman"/>
                <w:i/>
                <w:i/>
                <w:sz w:val="24"/>
                <w:szCs w:val="24"/>
              </w:rPr>
            </w:pPr>
            <w:r>
              <w:rPr>
                <w:rFonts w:cs="Times New Roman" w:ascii="Times New Roman" w:hAnsi="Times New Roman"/>
                <w:i/>
                <w:sz w:val="24"/>
                <w:szCs w:val="24"/>
                <w:lang w:val="uk-UA"/>
              </w:rPr>
              <w:t>- усунути протягом 2023 року застереження аудитора, зазначені в аудиторському звіті за 2022 рік;</w:t>
            </w:r>
          </w:p>
          <w:p>
            <w:pPr>
              <w:pStyle w:val="NoSpacing"/>
              <w:spacing w:lineRule="auto" w:line="240" w:before="0" w:after="0"/>
              <w:rPr>
                <w:rFonts w:ascii="Times New Roman" w:hAnsi="Times New Roman" w:cs="Times New Roman"/>
                <w:i/>
                <w:i/>
                <w:sz w:val="24"/>
                <w:szCs w:val="24"/>
              </w:rPr>
            </w:pPr>
            <w:r>
              <w:rPr>
                <w:rFonts w:cs="Times New Roman" w:ascii="Times New Roman" w:hAnsi="Times New Roman"/>
                <w:i/>
                <w:sz w:val="24"/>
                <w:szCs w:val="24"/>
                <w:lang w:val="uk-UA"/>
              </w:rPr>
              <w:t>-прибуток за результатами діяльності у 2022 році направити на покриття збитків минулих періодів, у зв’язку з чим дивіденди не нараховувати та не виплачувати.</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5</w:t>
            </w:r>
          </w:p>
        </w:tc>
        <w:tc>
          <w:tcPr>
            <w:tcW w:w="4536"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Визначення основних напрямків діяльності Товариства на 2023 рік.</w:t>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основні напрямки діяльності на 2023 рік.</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6</w:t>
            </w:r>
          </w:p>
        </w:tc>
        <w:tc>
          <w:tcPr>
            <w:tcW w:w="4536"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Про відкликання членів Наглядової ради Товариства у повному складі.</w:t>
            </w:r>
          </w:p>
          <w:p>
            <w:pPr>
              <w:pStyle w:val="Normal"/>
              <w:spacing w:lineRule="auto" w:line="240" w:before="0" w:after="0"/>
              <w:jc w:val="both"/>
              <w:rPr>
                <w:i/>
                <w:i/>
                <w:sz w:val="24"/>
                <w:szCs w:val="24"/>
                <w:lang w:val="uk-UA"/>
              </w:rPr>
            </w:pPr>
            <w:r>
              <w:rPr>
                <w:i/>
                <w:sz w:val="24"/>
                <w:szCs w:val="24"/>
                <w:lang w:val="uk-UA"/>
              </w:rPr>
            </w:r>
          </w:p>
        </w:tc>
        <w:tc>
          <w:tcPr>
            <w:tcW w:w="5388" w:type="dxa"/>
            <w:tcBorders/>
            <w:shd w:fill="auto" w:val="clear"/>
            <w:tcMar>
              <w:left w:w="108" w:type="dxa"/>
            </w:tcMar>
          </w:tcPr>
          <w:p>
            <w:pPr>
              <w:pStyle w:val="Normal"/>
              <w:widowControl w:val="false"/>
              <w:tabs>
                <w:tab w:val="left" w:pos="377" w:leader="none"/>
              </w:tabs>
              <w:spacing w:lineRule="auto" w:line="240" w:before="0" w:after="0"/>
              <w:jc w:val="both"/>
              <w:rPr>
                <w:i/>
                <w:i/>
                <w:sz w:val="24"/>
                <w:szCs w:val="24"/>
              </w:rPr>
            </w:pPr>
            <w:r>
              <w:rPr>
                <w:i/>
                <w:sz w:val="24"/>
                <w:szCs w:val="24"/>
                <w:lang w:val="uk-UA"/>
              </w:rPr>
              <w:t>Відкликати діючих членів Наглядової ради Товариства у повному складі.</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7</w:t>
            </w:r>
          </w:p>
        </w:tc>
        <w:tc>
          <w:tcPr>
            <w:tcW w:w="4536"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Про обрання членів Наглядової ради Товариства у складі 3 осіб строком на 3 роки.</w:t>
            </w:r>
          </w:p>
          <w:p>
            <w:pPr>
              <w:pStyle w:val="Normal"/>
              <w:widowControl w:val="false"/>
              <w:tabs>
                <w:tab w:val="left" w:pos="318" w:leader="none"/>
              </w:tabs>
              <w:spacing w:lineRule="auto" w:line="240" w:before="0" w:after="0"/>
              <w:jc w:val="both"/>
              <w:rPr>
                <w:sz w:val="24"/>
                <w:szCs w:val="24"/>
                <w:lang w:val="uk-UA"/>
              </w:rPr>
            </w:pPr>
            <w:r>
              <w:rPr>
                <w:sz w:val="24"/>
                <w:szCs w:val="24"/>
                <w:lang w:val="uk-UA"/>
              </w:rPr>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Обрати Наглядову раду Товариства у складі трьох осіб, а саме: ____________ (результати кумулятивного голосування).</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8</w:t>
            </w:r>
          </w:p>
        </w:tc>
        <w:tc>
          <w:tcPr>
            <w:tcW w:w="4536" w:type="dxa"/>
            <w:tcBorders/>
            <w:shd w:fill="auto" w:val="clear"/>
            <w:tcMar>
              <w:left w:w="108" w:type="dxa"/>
            </w:tcMar>
          </w:tcPr>
          <w:p>
            <w:pPr>
              <w:pStyle w:val="NoSpacing"/>
              <w:tabs>
                <w:tab w:val="left" w:pos="17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Про затвердження умов договорів (контрактів), що укладатимуться з обраними членами Наглядової ради Товариства, встановлення розміру їх винагороди та визначення уповноваженої особи на підписання договорів (контрактів) з членами Наглядової ради Товариства.</w:t>
            </w:r>
          </w:p>
          <w:p>
            <w:pPr>
              <w:pStyle w:val="Normal"/>
              <w:widowControl w:val="false"/>
              <w:tabs>
                <w:tab w:val="left" w:pos="176" w:leader="none"/>
              </w:tabs>
              <w:spacing w:lineRule="auto" w:line="240" w:before="0" w:after="0"/>
              <w:jc w:val="both"/>
              <w:rPr>
                <w:sz w:val="24"/>
                <w:szCs w:val="24"/>
                <w:lang w:val="uk-UA"/>
              </w:rPr>
            </w:pPr>
            <w:r>
              <w:rPr>
                <w:sz w:val="24"/>
                <w:szCs w:val="24"/>
                <w:lang w:val="uk-UA"/>
              </w:rPr>
            </w:r>
          </w:p>
        </w:tc>
        <w:tc>
          <w:tcPr>
            <w:tcW w:w="5388" w:type="dxa"/>
            <w:tcBorders/>
            <w:shd w:fill="auto" w:val="clear"/>
            <w:tcMar>
              <w:left w:w="108" w:type="dxa"/>
            </w:tcMar>
          </w:tcPr>
          <w:p>
            <w:pPr>
              <w:pStyle w:val="Normal"/>
              <w:widowControl w:val="false"/>
              <w:numPr>
                <w:ilvl w:val="0"/>
                <w:numId w:val="1"/>
              </w:numPr>
              <w:tabs>
                <w:tab w:val="left" w:pos="176" w:leader="none"/>
                <w:tab w:val="left" w:pos="969" w:leader="none"/>
              </w:tabs>
              <w:spacing w:lineRule="auto" w:line="240" w:before="0" w:after="0"/>
              <w:ind w:left="0" w:hanging="0"/>
              <w:jc w:val="both"/>
              <w:rPr>
                <w:i/>
                <w:i/>
                <w:sz w:val="24"/>
                <w:szCs w:val="24"/>
              </w:rPr>
            </w:pPr>
            <w:r>
              <w:rPr>
                <w:i/>
                <w:sz w:val="24"/>
                <w:szCs w:val="24"/>
                <w:lang w:val="uk-UA"/>
              </w:rPr>
              <w:t>Затвердити умови договорів (контрактів) між Товариством та членами Наглядової ради Товариства у редакції проєкту договору (контракту);</w:t>
            </w:r>
          </w:p>
          <w:p>
            <w:pPr>
              <w:pStyle w:val="Normal"/>
              <w:widowControl w:val="false"/>
              <w:numPr>
                <w:ilvl w:val="0"/>
                <w:numId w:val="1"/>
              </w:numPr>
              <w:tabs>
                <w:tab w:val="left" w:pos="176" w:leader="none"/>
                <w:tab w:val="left" w:pos="969" w:leader="none"/>
              </w:tabs>
              <w:spacing w:lineRule="auto" w:line="240" w:before="0" w:after="0"/>
              <w:ind w:left="0" w:hanging="0"/>
              <w:jc w:val="both"/>
              <w:rPr>
                <w:i/>
                <w:i/>
                <w:sz w:val="24"/>
                <w:szCs w:val="24"/>
              </w:rPr>
            </w:pPr>
            <w:r>
              <w:rPr>
                <w:i/>
                <w:sz w:val="24"/>
                <w:szCs w:val="24"/>
                <w:lang w:val="uk-UA"/>
              </w:rPr>
              <w:t>Встановити розмір винагороди членам Наглядової ради Товариства крім тих, що є державними службовцями, у розмірі однієї мінімальної заробітної плати на місяць, встановленої законодавством на 01 число місяця, за який виплачується винагорода, з якої утримуються встановлені законодавством податки та збори;</w:t>
            </w:r>
          </w:p>
          <w:p>
            <w:pPr>
              <w:pStyle w:val="Normal"/>
              <w:widowControl w:val="false"/>
              <w:numPr>
                <w:ilvl w:val="0"/>
                <w:numId w:val="1"/>
              </w:numPr>
              <w:tabs>
                <w:tab w:val="left" w:pos="176" w:leader="none"/>
                <w:tab w:val="left" w:pos="969" w:leader="none"/>
              </w:tabs>
              <w:spacing w:lineRule="auto" w:line="240" w:before="0" w:after="0"/>
              <w:ind w:left="0" w:hanging="0"/>
              <w:jc w:val="both"/>
              <w:rPr>
                <w:i/>
                <w:i/>
                <w:sz w:val="24"/>
                <w:szCs w:val="24"/>
              </w:rPr>
            </w:pPr>
            <w:r>
              <w:rPr>
                <w:i/>
                <w:sz w:val="24"/>
                <w:szCs w:val="24"/>
                <w:lang w:val="uk-UA"/>
              </w:rPr>
              <w:t>Уповноважити Генерального директора Товариства підписати від імені Товариства договори (контракти) з членами Наглядової ради Товариства.</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9</w:t>
            </w:r>
          </w:p>
        </w:tc>
        <w:tc>
          <w:tcPr>
            <w:tcW w:w="4536"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Про відкликання членів Ревізійної комісії Товариства у повному складі.</w:t>
            </w:r>
          </w:p>
          <w:p>
            <w:pPr>
              <w:pStyle w:val="Normal"/>
              <w:spacing w:lineRule="auto" w:line="240" w:before="0" w:after="0"/>
              <w:jc w:val="both"/>
              <w:rPr>
                <w:sz w:val="24"/>
                <w:szCs w:val="24"/>
                <w:lang w:val="uk-UA"/>
              </w:rPr>
            </w:pPr>
            <w:r>
              <w:rPr>
                <w:sz w:val="24"/>
                <w:szCs w:val="24"/>
                <w:lang w:val="uk-UA"/>
              </w:rPr>
            </w:r>
          </w:p>
        </w:tc>
        <w:tc>
          <w:tcPr>
            <w:tcW w:w="5388" w:type="dxa"/>
            <w:tcBorders/>
            <w:shd w:fill="auto" w:val="clear"/>
            <w:tcMar>
              <w:left w:w="108" w:type="dxa"/>
            </w:tcMar>
          </w:tcPr>
          <w:p>
            <w:pPr>
              <w:pStyle w:val="Normal"/>
              <w:widowControl w:val="false"/>
              <w:spacing w:lineRule="auto" w:line="240" w:before="0" w:after="0"/>
              <w:jc w:val="both"/>
              <w:rPr>
                <w:i/>
                <w:i/>
                <w:sz w:val="24"/>
                <w:szCs w:val="24"/>
              </w:rPr>
            </w:pPr>
            <w:r>
              <w:rPr>
                <w:i/>
                <w:sz w:val="24"/>
                <w:szCs w:val="24"/>
                <w:lang w:val="uk-UA"/>
              </w:rPr>
              <w:t>Відкликати діючих членів Ревізійної комісії Товариства у повному складі.</w:t>
            </w:r>
          </w:p>
        </w:tc>
      </w:tr>
      <w:tr>
        <w:trPr/>
        <w:tc>
          <w:tcPr>
            <w:tcW w:w="561"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10</w:t>
            </w:r>
          </w:p>
        </w:tc>
        <w:tc>
          <w:tcPr>
            <w:tcW w:w="4536"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Про обрання членів Ревізійної комісії Товариства у складі 3 осіб строком на 3 роки.</w:t>
            </w:r>
          </w:p>
          <w:p>
            <w:pPr>
              <w:pStyle w:val="NoSpacing"/>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5388"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Обрати Ревізійну комісію Товариства у складі трьох осіб, а саме:___________ (результати кумулятивного голосування).</w:t>
            </w:r>
          </w:p>
        </w:tc>
      </w:tr>
    </w:tbl>
    <w:p>
      <w:pPr>
        <w:pStyle w:val="Normal"/>
        <w:jc w:val="both"/>
        <w:rPr>
          <w:sz w:val="24"/>
          <w:szCs w:val="24"/>
        </w:rPr>
      </w:pPr>
      <w:r>
        <w:rPr>
          <w:sz w:val="24"/>
          <w:szCs w:val="24"/>
        </w:rPr>
      </w:r>
    </w:p>
    <w:p>
      <w:pPr>
        <w:pStyle w:val="Normal"/>
        <w:ind w:firstLine="709"/>
        <w:jc w:val="both"/>
        <w:rPr>
          <w:sz w:val="24"/>
          <w:szCs w:val="24"/>
          <w:lang w:val="uk-UA"/>
        </w:rPr>
      </w:pPr>
      <w:r>
        <w:rPr>
          <w:sz w:val="24"/>
          <w:szCs w:val="24"/>
          <w:lang w:val="uk-UA"/>
        </w:rPr>
        <w:t>Між питаннями порядку денного 6, 7 та 8 наявний взаємозв’язок, у зв’язку з чим у разі неприйняття рішення з питання порядку денного «6. Про відкликання членів Наглядової ради Товариства у повному складі.» неможливий підрахунок голосів та прийняття рішення з питань 7 та 8 щодо обрання членів Наглядової ради та затвердження умов договорів з обраними членами, а також у разі неприйняття рішення з питання 7. «Про обрання членів Наглядової ради Товариства…» виключає можливість прийняття рішення з питання 8. «Про затвердження умов договорів (контрактів), що укладатимуться з обраними членами Наглядової ради Товариства…». Аналогічний взаємозв’язок між питаннями порядку денного 9 та 10 щодо відкликання та обрання членів Ревізійної комісії Товариства.</w:t>
      </w:r>
    </w:p>
    <w:p>
      <w:pPr>
        <w:pStyle w:val="Normal"/>
        <w:ind w:firstLine="709"/>
        <w:jc w:val="both"/>
        <w:rPr>
          <w:i/>
          <w:i/>
          <w:sz w:val="24"/>
          <w:szCs w:val="24"/>
          <w:lang w:val="uk-UA"/>
        </w:rPr>
      </w:pPr>
      <w:r>
        <w:rPr>
          <w:i/>
          <w:sz w:val="24"/>
          <w:szCs w:val="24"/>
          <w:lang w:val="uk-UA"/>
        </w:rPr>
      </w:r>
    </w:p>
    <w:p>
      <w:pPr>
        <w:pStyle w:val="Normal"/>
        <w:ind w:firstLine="567"/>
        <w:jc w:val="both"/>
        <w:rPr/>
      </w:pPr>
      <w:r>
        <w:rPr>
          <w:sz w:val="24"/>
          <w:szCs w:val="24"/>
          <w:lang w:val="uk-UA"/>
        </w:rPr>
        <w:t xml:space="preserve">Адреса сторінки на власному веб-сайті ПрАТ «Компанія Київенергохолдинг», на якій розміщено повідомлення про проведення загальних зборів,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 Товариства: </w:t>
      </w:r>
      <w:hyperlink r:id="rId3">
        <w:r>
          <w:rPr>
            <w:rStyle w:val="Style14"/>
            <w:sz w:val="24"/>
            <w:szCs w:val="24"/>
            <w:lang w:val="uk-UA"/>
          </w:rPr>
          <w:t>http://kievenergoholding.com.ua</w:t>
        </w:r>
      </w:hyperlink>
      <w:r>
        <w:rPr>
          <w:sz w:val="24"/>
          <w:szCs w:val="24"/>
          <w:lang w:val="uk-UA"/>
        </w:rPr>
        <w:t>.</w:t>
      </w:r>
    </w:p>
    <w:p>
      <w:pPr>
        <w:pStyle w:val="Normal"/>
        <w:ind w:firstLine="567"/>
        <w:jc w:val="both"/>
        <w:rPr>
          <w:sz w:val="24"/>
          <w:szCs w:val="24"/>
          <w:lang w:val="uk-UA"/>
        </w:rPr>
      </w:pPr>
      <w:r>
        <w:rPr>
          <w:sz w:val="24"/>
          <w:szCs w:val="24"/>
          <w:lang w:val="uk-UA"/>
        </w:rPr>
      </w:r>
    </w:p>
    <w:p>
      <w:pPr>
        <w:pStyle w:val="Normal"/>
        <w:ind w:firstLine="567"/>
        <w:jc w:val="both"/>
        <w:rPr>
          <w:sz w:val="24"/>
          <w:szCs w:val="24"/>
        </w:rPr>
      </w:pPr>
      <w:r>
        <w:rPr>
          <w:sz w:val="24"/>
          <w:szCs w:val="24"/>
          <w:lang w:val="uk-UA"/>
        </w:rPr>
        <w:t xml:space="preserve">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ПрАТ «Компанія Київенергохолдинг» повинно надати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r>
        <w:rPr>
          <w:sz w:val="24"/>
          <w:szCs w:val="24"/>
          <w:lang w:val="en-US"/>
        </w:rPr>
        <w:t>fedorenko</w:t>
      </w:r>
      <w:r>
        <w:rPr>
          <w:sz w:val="24"/>
          <w:szCs w:val="24"/>
        </w:rPr>
        <w:t>@</w:t>
      </w:r>
      <w:r>
        <w:rPr>
          <w:sz w:val="24"/>
          <w:szCs w:val="24"/>
          <w:lang w:val="en-US"/>
        </w:rPr>
        <w:t>gukv</w:t>
      </w:r>
      <w:r>
        <w:rPr>
          <w:sz w:val="24"/>
          <w:szCs w:val="24"/>
        </w:rPr>
        <w:t>.</w:t>
      </w:r>
      <w:r>
        <w:rPr>
          <w:sz w:val="24"/>
          <w:szCs w:val="24"/>
          <w:lang w:val="en-US"/>
        </w:rPr>
        <w:t>gov</w:t>
      </w:r>
      <w:r>
        <w:rPr>
          <w:sz w:val="24"/>
          <w:szCs w:val="24"/>
        </w:rPr>
        <w:t>.</w:t>
      </w:r>
      <w:r>
        <w:rPr>
          <w:sz w:val="24"/>
          <w:szCs w:val="24"/>
          <w:lang w:val="en-US"/>
        </w:rPr>
        <w:t>ua</w:t>
      </w:r>
      <w:r>
        <w:rPr>
          <w:sz w:val="24"/>
          <w:szCs w:val="24"/>
        </w:rPr>
        <w:t>.</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(або іншого електронного підпису цієї особи, що базується на кваліфікованому сертифікаті відкритого ключа) та направлений на адресу електронної пошти fedorenko@gukv.gov.ua.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fedorenko@gukv.gov.ua</w:t>
      </w:r>
      <w:r>
        <w:rPr>
          <w:i/>
          <w:sz w:val="24"/>
          <w:szCs w:val="24"/>
          <w:lang w:val="uk-UA"/>
        </w:rPr>
        <w:t xml:space="preserve"> </w:t>
      </w:r>
      <w:r>
        <w:rPr>
          <w:sz w:val="24"/>
          <w:szCs w:val="24"/>
          <w:lang w:val="uk-UA"/>
        </w:rPr>
        <w:t>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(або іншим електронним підписом цієї особи, що базується на кваліфікованому сертифікаті відкритого ключа).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Посадова особа, яка відповідатиме за ознайомлення акціонерів з документами з матеріалами (документами), необхідними для прийняття рішень з питань порядку денного загальних зборів під час підготовки до загальних зборів, та прийняття пропозицій – Федоренко Олег Іванович, тел. (044) 202-61-00. </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Кожний акціонер має право внести пропозиції щодо питань, включених до проєкту порядку денного загальних зборів акціонерів, а також щодо нових кандидатів до складу органів ПрАТ «АК «Київводоканал», кількість яких не може перевищувати кількісного складу кожного з органів. </w:t>
      </w:r>
    </w:p>
    <w:p>
      <w:pPr>
        <w:pStyle w:val="Normal"/>
        <w:ind w:firstLine="567"/>
        <w:jc w:val="both"/>
        <w:rPr>
          <w:sz w:val="24"/>
          <w:szCs w:val="24"/>
          <w:lang w:val="uk-UA"/>
        </w:rPr>
      </w:pPr>
      <w:r>
        <w:rPr>
          <w:sz w:val="24"/>
          <w:szCs w:val="24"/>
          <w:lang w:val="uk-UA"/>
        </w:rPr>
        <w:t xml:space="preserve">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w:t>
      </w:r>
    </w:p>
    <w:p>
      <w:pPr>
        <w:pStyle w:val="Normal"/>
        <w:ind w:firstLine="567"/>
        <w:jc w:val="both"/>
        <w:rPr>
          <w:sz w:val="24"/>
          <w:szCs w:val="24"/>
          <w:lang w:val="uk-UA"/>
        </w:rPr>
      </w:pPr>
      <w:r>
        <w:rPr>
          <w:sz w:val="24"/>
          <w:szCs w:val="24"/>
          <w:lang w:val="uk-UA"/>
        </w:rPr>
        <w:t>Пропозиція до порядку денного загальних зборів може бути направлена акціонером у вигляді електронного документу із зазначенням реквізитів акціонера, який її вносить, кількості, типу та/або класу належних йому акцій, змісту пропозиції до питання та/або проєкту рішення, та із засвідченням його кваліфікованим електронним підписом акціонера (або іншого електронного підпису цієї особи, що базується на кваліфікованому сертифікаті відкритого ключа) на адресу електронної пошти fedorenko@gukv.gov.ua.</w:t>
      </w:r>
    </w:p>
    <w:p>
      <w:pPr>
        <w:pStyle w:val="Normal"/>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ПрАТ «Компанія Київенергохолдинг» на дату складення переліку акціонерів, які мають право на участь у загальних зборах (станом на 23 годину 25 квітня 2023 року). Голосування на загальних зборах з питань порядку денного проводиться виключно з використанням бюлетенів для голосування.</w:t>
      </w:r>
    </w:p>
    <w:p>
      <w:pPr>
        <w:pStyle w:val="Normal"/>
        <w:ind w:firstLine="567"/>
        <w:jc w:val="both"/>
        <w:rPr>
          <w:sz w:val="24"/>
          <w:szCs w:val="24"/>
          <w:lang w:val="uk-UA"/>
        </w:rPr>
      </w:pPr>
      <w:r>
        <w:rPr>
          <w:sz w:val="24"/>
          <w:szCs w:val="24"/>
          <w:lang w:val="uk-UA"/>
        </w:rPr>
        <w:t>Бюлетені для голосування на загальних зборах приймаються виключно до 18-00 дати завершення голосування (до 18-00 28.04.2023 року).</w:t>
      </w:r>
    </w:p>
    <w:p>
      <w:pPr>
        <w:pStyle w:val="Normal"/>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У разі, якщо акціонер має рахунки в цінних паперах в декількох депозитарних установах, на яких обліковуються акції ПрАТ «Компанія Київенергохолдинг»,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pPr>
        <w:pStyle w:val="Normal"/>
        <w:ind w:firstLine="567"/>
        <w:jc w:val="both"/>
        <w:rPr>
          <w:sz w:val="24"/>
          <w:szCs w:val="24"/>
          <w:lang w:val="uk-UA"/>
        </w:rPr>
      </w:pPr>
      <w:r>
        <w:rPr>
          <w:sz w:val="24"/>
          <w:szCs w:val="24"/>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Акціонер має право призначити свого представника постійно або на певний строк. </w:t>
      </w:r>
    </w:p>
    <w:p>
      <w:pPr>
        <w:pStyle w:val="Normal"/>
        <w:ind w:firstLine="567"/>
        <w:jc w:val="both"/>
        <w:rPr>
          <w:sz w:val="24"/>
          <w:szCs w:val="24"/>
          <w:lang w:val="uk-UA"/>
        </w:rPr>
      </w:pPr>
      <w:r>
        <w:rPr>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pPr>
        <w:pStyle w:val="Normal"/>
        <w:ind w:firstLine="567"/>
        <w:jc w:val="both"/>
        <w:rPr>
          <w:sz w:val="24"/>
          <w:szCs w:val="24"/>
          <w:lang w:val="uk-UA"/>
        </w:rPr>
      </w:pPr>
      <w:r>
        <w:rPr>
          <w:sz w:val="24"/>
          <w:szCs w:val="24"/>
          <w:lang w:val="uk-UA"/>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w:t>
      </w:r>
      <w:r>
        <w:rPr>
          <w:bCs/>
          <w:sz w:val="24"/>
          <w:szCs w:val="24"/>
          <w:lang w:val="uk-UA"/>
        </w:rPr>
        <w:t>яка є невід'ємною частиною довіреності на право участі та голосування на загальних зборах</w:t>
      </w:r>
      <w:r>
        <w:rPr>
          <w:sz w:val="24"/>
          <w:szCs w:val="24"/>
          <w:lang w:val="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pPr>
        <w:pStyle w:val="Normal"/>
        <w:ind w:firstLine="567"/>
        <w:jc w:val="both"/>
        <w:rPr>
          <w:sz w:val="24"/>
          <w:szCs w:val="24"/>
          <w:lang w:val="uk-UA"/>
        </w:rPr>
      </w:pPr>
      <w:r>
        <w:rPr>
          <w:sz w:val="24"/>
          <w:szCs w:val="24"/>
          <w:lang w:val="uk-UA"/>
        </w:rPr>
        <w:t>Акціонер має право видати довіреність на право участі та голосування на загальних зборах декільком своїм представникам.</w:t>
      </w:r>
    </w:p>
    <w:p>
      <w:pPr>
        <w:pStyle w:val="Normal"/>
        <w:ind w:firstLine="567"/>
        <w:jc w:val="both"/>
        <w:rPr>
          <w:sz w:val="24"/>
          <w:szCs w:val="24"/>
          <w:lang w:val="uk-UA"/>
        </w:rPr>
      </w:pPr>
      <w:r>
        <w:rPr>
          <w:sz w:val="24"/>
          <w:szCs w:val="24"/>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pPr>
        <w:pStyle w:val="Normal"/>
        <w:ind w:firstLine="567"/>
        <w:jc w:val="both"/>
        <w:rPr>
          <w:sz w:val="24"/>
          <w:szCs w:val="24"/>
          <w:lang w:val="uk-UA"/>
        </w:rPr>
      </w:pPr>
      <w:r>
        <w:rPr>
          <w:sz w:val="24"/>
          <w:szCs w:val="24"/>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Голосування на загальних зборах з питань порядку денного проводиться виключно з використанням бюлетенів для голосування як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 </w:t>
      </w:r>
    </w:p>
    <w:p>
      <w:pPr>
        <w:pStyle w:val="Normal"/>
        <w:ind w:firstLine="567"/>
        <w:jc w:val="both"/>
        <w:rPr>
          <w:sz w:val="24"/>
          <w:szCs w:val="24"/>
          <w:lang w:val="uk-UA"/>
        </w:rPr>
      </w:pPr>
      <w:r>
        <w:rPr>
          <w:sz w:val="24"/>
          <w:szCs w:val="24"/>
          <w:lang w:val="uk-UA"/>
        </w:rPr>
        <w:t xml:space="preserve">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 (голосування розпочинається з моменту розміщення на веб-сайті Товариства відповідного бюлетеня для голосування). Дат</w:t>
      </w:r>
      <w:bookmarkStart w:id="0" w:name="_GoBack"/>
      <w:bookmarkEnd w:id="0"/>
      <w:r>
        <w:rPr>
          <w:sz w:val="24"/>
          <w:szCs w:val="24"/>
          <w:lang w:val="uk-UA"/>
        </w:rPr>
        <w:t>ою закінчення голосування акціонерів є дата проведення загальних зборів. Бюлетені для голосування на загальних зборах приймаються виключно до 18-00 дати завершення голосування (до 18-00 28 квітня 2023 року).</w:t>
      </w:r>
    </w:p>
    <w:p>
      <w:pPr>
        <w:pStyle w:val="Normal"/>
        <w:ind w:firstLine="567"/>
        <w:jc w:val="both"/>
        <w:rPr>
          <w:sz w:val="24"/>
          <w:szCs w:val="24"/>
          <w:lang w:val="uk-UA"/>
        </w:rPr>
      </w:pPr>
      <w:r>
        <w:rPr>
          <w:sz w:val="24"/>
          <w:szCs w:val="24"/>
          <w:lang w:val="uk-UA"/>
        </w:rPr>
        <w:t>Дата і час початку та завершення надсилання до депозитарної установи бюлетенів для голосування :</w:t>
      </w:r>
    </w:p>
    <w:p>
      <w:pPr>
        <w:pStyle w:val="Normal"/>
        <w:ind w:firstLine="567"/>
        <w:jc w:val="both"/>
        <w:rPr>
          <w:sz w:val="24"/>
          <w:szCs w:val="24"/>
          <w:lang w:val="uk-UA"/>
        </w:rPr>
      </w:pPr>
      <w:r>
        <w:rPr>
          <w:sz w:val="24"/>
          <w:szCs w:val="24"/>
          <w:lang w:val="uk-UA"/>
        </w:rPr>
        <w:t>З 11-00 18 квітня 2023 року до 18-00 28 квітня 2023 року – бюлетеню для голосування (щодо інших питань порядку денного, крім обрання органів товариства);</w:t>
      </w:r>
    </w:p>
    <w:p>
      <w:pPr>
        <w:pStyle w:val="Normal"/>
        <w:ind w:firstLine="567"/>
        <w:jc w:val="both"/>
        <w:rPr>
          <w:sz w:val="24"/>
          <w:szCs w:val="24"/>
          <w:lang w:val="uk-UA"/>
        </w:rPr>
      </w:pPr>
      <w:r>
        <w:rPr>
          <w:sz w:val="24"/>
          <w:szCs w:val="24"/>
          <w:lang w:val="uk-UA"/>
        </w:rPr>
        <w:t>З 11-00 24 квітня 2023 року до 18-00 28 квітня 2023 року – бюлетеню для кумулятивного голосування.</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ПрАТ «Компанія Київенергохолдинг»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pPr>
        <w:pStyle w:val="Normal"/>
        <w:jc w:val="both"/>
        <w:rPr>
          <w:sz w:val="24"/>
          <w:szCs w:val="24"/>
          <w:lang w:val="uk-UA"/>
        </w:rPr>
      </w:pPr>
      <w:r>
        <w:rPr>
          <w:sz w:val="24"/>
          <w:szCs w:val="24"/>
          <w:lang w:val="uk-UA"/>
        </w:rPr>
      </w:r>
    </w:p>
    <w:p>
      <w:pPr>
        <w:pStyle w:val="Normal"/>
        <w:rPr>
          <w:b/>
          <w:b/>
          <w:sz w:val="24"/>
          <w:szCs w:val="24"/>
          <w:lang w:val="uk-UA"/>
        </w:rPr>
      </w:pPr>
      <w:r>
        <w:rPr>
          <w:b/>
          <w:sz w:val="24"/>
          <w:szCs w:val="24"/>
          <w:lang w:val="uk-UA"/>
        </w:rPr>
        <w:t>Основні показники фінансово-господарської діяльності Товариства (тис.грн.)</w:t>
      </w:r>
    </w:p>
    <w:p>
      <w:pPr>
        <w:pStyle w:val="Normal"/>
        <w:jc w:val="both"/>
        <w:rPr>
          <w:sz w:val="24"/>
          <w:szCs w:val="24"/>
          <w:lang w:val="uk-UA"/>
        </w:rPr>
      </w:pPr>
      <w:r>
        <w:rPr>
          <w:sz w:val="24"/>
          <w:szCs w:val="24"/>
          <w:lang w:val="uk-UA"/>
        </w:rPr>
      </w:r>
    </w:p>
    <w:tbl>
      <w:tblPr>
        <w:tblStyle w:val="a9"/>
        <w:tblW w:w="9345" w:type="dxa"/>
        <w:jc w:val="left"/>
        <w:tblInd w:w="0" w:type="dxa"/>
        <w:tblCellMar>
          <w:top w:w="0" w:type="dxa"/>
          <w:left w:w="108" w:type="dxa"/>
          <w:bottom w:w="0" w:type="dxa"/>
          <w:right w:w="108" w:type="dxa"/>
        </w:tblCellMar>
        <w:tblLook w:firstRow="1" w:noVBand="1" w:lastRow="0" w:firstColumn="1" w:lastColumn="0" w:noHBand="0" w:val="04a0"/>
      </w:tblPr>
      <w:tblGrid>
        <w:gridCol w:w="4659"/>
        <w:gridCol w:w="2358"/>
        <w:gridCol w:w="2328"/>
      </w:tblGrid>
      <w:tr>
        <w:trPr/>
        <w:tc>
          <w:tcPr>
            <w:tcW w:w="4659" w:type="dxa"/>
            <w:vMerge w:val="restart"/>
            <w:tcBorders/>
            <w:shd w:fill="auto" w:val="clear"/>
            <w:tcMar>
              <w:left w:w="108" w:type="dxa"/>
            </w:tcMar>
          </w:tcPr>
          <w:p>
            <w:pPr>
              <w:pStyle w:val="Normal"/>
              <w:spacing w:lineRule="auto" w:line="240" w:before="0" w:after="0"/>
              <w:jc w:val="center"/>
              <w:rPr>
                <w:b/>
                <w:b/>
                <w:sz w:val="24"/>
                <w:szCs w:val="24"/>
              </w:rPr>
            </w:pPr>
            <w:r>
              <w:rPr>
                <w:b/>
                <w:sz w:val="24"/>
                <w:szCs w:val="24"/>
                <w:lang w:val="uk-UA"/>
              </w:rPr>
              <w:t>Найменування показника</w:t>
            </w:r>
          </w:p>
        </w:tc>
        <w:tc>
          <w:tcPr>
            <w:tcW w:w="4686" w:type="dxa"/>
            <w:gridSpan w:val="2"/>
            <w:tcBorders/>
            <w:shd w:fill="auto" w:val="clear"/>
            <w:tcMar>
              <w:left w:w="108" w:type="dxa"/>
            </w:tcMar>
          </w:tcPr>
          <w:p>
            <w:pPr>
              <w:pStyle w:val="Normal"/>
              <w:spacing w:lineRule="auto" w:line="240" w:before="0" w:after="0"/>
              <w:jc w:val="center"/>
              <w:rPr>
                <w:b/>
                <w:b/>
                <w:sz w:val="24"/>
                <w:szCs w:val="24"/>
              </w:rPr>
            </w:pPr>
            <w:r>
              <w:rPr>
                <w:b/>
                <w:sz w:val="24"/>
                <w:szCs w:val="24"/>
                <w:lang w:val="uk-UA"/>
              </w:rPr>
              <w:t>Період</w:t>
            </w:r>
          </w:p>
        </w:tc>
      </w:tr>
      <w:tr>
        <w:trPr/>
        <w:tc>
          <w:tcPr>
            <w:tcW w:w="4659" w:type="dxa"/>
            <w:vMerge w:val="continue"/>
            <w:tcBorders/>
            <w:shd w:fill="auto" w:val="clear"/>
            <w:tcMar>
              <w:left w:w="108" w:type="dxa"/>
            </w:tcMar>
          </w:tcPr>
          <w:p>
            <w:pPr>
              <w:pStyle w:val="Normal"/>
              <w:spacing w:lineRule="auto" w:line="240" w:before="0" w:after="0"/>
              <w:jc w:val="center"/>
              <w:rPr>
                <w:b/>
                <w:b/>
                <w:sz w:val="24"/>
                <w:szCs w:val="24"/>
                <w:lang w:val="uk-UA"/>
              </w:rPr>
            </w:pPr>
            <w:r>
              <w:rPr>
                <w:b/>
                <w:sz w:val="24"/>
                <w:szCs w:val="24"/>
                <w:lang w:val="uk-UA"/>
              </w:rPr>
            </w:r>
          </w:p>
        </w:tc>
        <w:tc>
          <w:tcPr>
            <w:tcW w:w="2358" w:type="dxa"/>
            <w:tcBorders/>
            <w:shd w:fill="auto" w:val="clear"/>
            <w:tcMar>
              <w:left w:w="108" w:type="dxa"/>
            </w:tcMar>
          </w:tcPr>
          <w:p>
            <w:pPr>
              <w:pStyle w:val="Normal"/>
              <w:spacing w:lineRule="auto" w:line="240" w:before="0" w:after="0"/>
              <w:jc w:val="center"/>
              <w:rPr>
                <w:b/>
                <w:b/>
                <w:sz w:val="24"/>
                <w:szCs w:val="24"/>
              </w:rPr>
            </w:pPr>
            <w:r>
              <w:rPr>
                <w:b/>
                <w:sz w:val="24"/>
                <w:szCs w:val="24"/>
                <w:lang w:val="uk-UA"/>
              </w:rPr>
              <w:t>Звітний</w:t>
            </w:r>
          </w:p>
        </w:tc>
        <w:tc>
          <w:tcPr>
            <w:tcW w:w="2328" w:type="dxa"/>
            <w:tcBorders/>
            <w:shd w:fill="auto" w:val="clear"/>
            <w:tcMar>
              <w:left w:w="108" w:type="dxa"/>
            </w:tcMar>
          </w:tcPr>
          <w:p>
            <w:pPr>
              <w:pStyle w:val="Normal"/>
              <w:spacing w:lineRule="auto" w:line="240" w:before="0" w:after="0"/>
              <w:jc w:val="center"/>
              <w:rPr>
                <w:b/>
                <w:b/>
                <w:sz w:val="24"/>
                <w:szCs w:val="24"/>
              </w:rPr>
            </w:pPr>
            <w:r>
              <w:rPr>
                <w:b/>
                <w:sz w:val="24"/>
                <w:szCs w:val="24"/>
                <w:lang w:val="uk-UA"/>
              </w:rPr>
              <w:t xml:space="preserve">Попередній </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Усього активів</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275651</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 xml:space="preserve">275037 </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Основні засоби (за залишковою вартістю)</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98</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73</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Сумарна дебіторська заборгованість</w:t>
            </w:r>
          </w:p>
        </w:tc>
        <w:tc>
          <w:tcPr>
            <w:tcW w:w="2358" w:type="dxa"/>
            <w:tcBorders/>
            <w:shd w:color="auto" w:fill="auto" w:val="clear"/>
            <w:tcMar>
              <w:left w:w="108" w:type="dxa"/>
            </w:tcMar>
          </w:tcPr>
          <w:p>
            <w:pPr>
              <w:pStyle w:val="Normal"/>
              <w:spacing w:lineRule="auto" w:line="240" w:before="0" w:after="0"/>
              <w:jc w:val="both"/>
              <w:rPr>
                <w:sz w:val="24"/>
                <w:szCs w:val="24"/>
              </w:rPr>
            </w:pPr>
            <w:r>
              <w:rPr>
                <w:sz w:val="24"/>
                <w:szCs w:val="24"/>
                <w:lang w:val="uk-UA"/>
              </w:rPr>
              <w:t>6686</w:t>
            </w:r>
          </w:p>
        </w:tc>
        <w:tc>
          <w:tcPr>
            <w:tcW w:w="2328" w:type="dxa"/>
            <w:tcBorders/>
            <w:shd w:color="auto" w:fill="auto" w:val="clear"/>
            <w:tcMar>
              <w:left w:w="108" w:type="dxa"/>
            </w:tcMar>
          </w:tcPr>
          <w:p>
            <w:pPr>
              <w:pStyle w:val="Normal"/>
              <w:spacing w:lineRule="auto" w:line="240" w:before="0" w:after="0"/>
              <w:jc w:val="both"/>
              <w:rPr>
                <w:sz w:val="24"/>
                <w:szCs w:val="24"/>
              </w:rPr>
            </w:pPr>
            <w:r>
              <w:rPr>
                <w:sz w:val="24"/>
                <w:szCs w:val="24"/>
                <w:lang w:val="uk-UA"/>
              </w:rPr>
              <w:t>7740</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Грошові кошти та їх еквіваленти</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48139</w:t>
            </w:r>
          </w:p>
        </w:tc>
        <w:tc>
          <w:tcPr>
            <w:tcW w:w="232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46496</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Нерозподілений прибуток</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-103104</w:t>
            </w:r>
          </w:p>
        </w:tc>
        <w:tc>
          <w:tcPr>
            <w:tcW w:w="232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-103728</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Власний капітал</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275569</w:t>
            </w:r>
          </w:p>
        </w:tc>
        <w:tc>
          <w:tcPr>
            <w:tcW w:w="232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274945</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Зареєстрований (пайовий/статутний) капітал (грн.)</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377 262 346</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377 262 346</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Довгострокові зобов’язання і забезпечення</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10</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10</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Поточні зобов’язання і забезпечення</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72</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82</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Чистий фінансовий результат: прибуток (збиток)</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624</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-27017</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Середньорічна кількість акцій (шт.)</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1 509 049 384</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1 509 049 384</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Чистий прибуток (збиток) на одну просту акцію (грн.)</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0</w:t>
            </w:r>
            <w:r>
              <w:rPr>
                <w:sz w:val="24"/>
                <w:szCs w:val="24"/>
              </w:rPr>
              <w:t>,</w:t>
            </w:r>
            <w:r>
              <w:rPr>
                <w:sz w:val="24"/>
                <w:szCs w:val="24"/>
                <w:lang w:val="en-US"/>
              </w:rPr>
              <w:t>00041</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en-US"/>
              </w:rPr>
              <w:t>-0,0</w:t>
            </w:r>
            <w:r>
              <w:rPr>
                <w:sz w:val="24"/>
                <w:szCs w:val="24"/>
              </w:rPr>
              <w:t>18</w:t>
            </w:r>
          </w:p>
        </w:tc>
      </w:tr>
    </w:tbl>
    <w:p>
      <w:pPr>
        <w:pStyle w:val="Normal"/>
        <w:jc w:val="both"/>
        <w:rPr>
          <w:sz w:val="18"/>
          <w:szCs w:val="18"/>
          <w:lang w:val="uk-UA"/>
        </w:rPr>
      </w:pPr>
      <w:r>
        <w:rPr>
          <w:sz w:val="18"/>
          <w:szCs w:val="18"/>
          <w:lang w:val="uk-UA"/>
        </w:rPr>
      </w:r>
    </w:p>
    <w:p>
      <w:pPr>
        <w:pStyle w:val="Normal"/>
        <w:jc w:val="both"/>
        <w:rPr>
          <w:sz w:val="24"/>
          <w:szCs w:val="24"/>
          <w:lang w:val="uk-UA"/>
        </w:rPr>
      </w:pPr>
      <w:r>
        <w:rPr>
          <w:sz w:val="24"/>
          <w:szCs w:val="24"/>
          <w:lang w:val="uk-UA"/>
        </w:rPr>
      </w:r>
    </w:p>
    <w:p>
      <w:pPr>
        <w:pStyle w:val="Normal"/>
        <w:jc w:val="both"/>
        <w:rPr>
          <w:sz w:val="24"/>
          <w:szCs w:val="24"/>
          <w:lang w:val="uk-UA"/>
        </w:rPr>
      </w:pPr>
      <w:r>
        <w:rPr>
          <w:sz w:val="24"/>
          <w:szCs w:val="24"/>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Товариства, 23.03.2023:</w:t>
      </w:r>
    </w:p>
    <w:p>
      <w:pPr>
        <w:pStyle w:val="Normal"/>
        <w:jc w:val="both"/>
        <w:rPr>
          <w:sz w:val="24"/>
          <w:szCs w:val="24"/>
          <w:lang w:val="uk-UA"/>
        </w:rPr>
      </w:pPr>
      <w:r>
        <w:rPr>
          <w:sz w:val="24"/>
          <w:szCs w:val="24"/>
          <w:lang w:val="uk-UA"/>
        </w:rPr>
        <w:t>-</w:t>
        <w:tab/>
        <w:t>1 509 049 384 загальна кількість акцій;</w:t>
      </w:r>
    </w:p>
    <w:p>
      <w:pPr>
        <w:pStyle w:val="Normal"/>
        <w:jc w:val="both"/>
        <w:rPr>
          <w:b/>
          <w:b/>
          <w:sz w:val="24"/>
          <w:szCs w:val="24"/>
          <w:lang w:val="uk-UA"/>
        </w:rPr>
      </w:pPr>
      <w:r>
        <w:rPr>
          <w:sz w:val="24"/>
          <w:szCs w:val="24"/>
          <w:lang w:val="uk-UA"/>
        </w:rPr>
        <w:t>-</w:t>
        <w:tab/>
        <w:t>1 509 049 384 кількість голосуючих акцій.</w:t>
      </w:r>
    </w:p>
    <w:p>
      <w:pPr>
        <w:pStyle w:val="Normal"/>
        <w:jc w:val="both"/>
        <w:rPr>
          <w:b/>
          <w:b/>
          <w:sz w:val="24"/>
          <w:szCs w:val="24"/>
          <w:lang w:val="uk-UA"/>
        </w:rPr>
      </w:pPr>
      <w:r>
        <w:rPr>
          <w:b/>
          <w:sz w:val="24"/>
          <w:szCs w:val="24"/>
          <w:lang w:val="uk-UA"/>
        </w:rPr>
      </w:r>
    </w:p>
    <w:p>
      <w:pPr>
        <w:pStyle w:val="NoSpacing"/>
        <w:jc w:val="both"/>
        <w:rPr>
          <w:sz w:val="24"/>
          <w:szCs w:val="24"/>
          <w:lang w:val="uk-UA"/>
        </w:rPr>
      </w:pPr>
      <w:r>
        <w:rPr>
          <w:rFonts w:eastAsia="Times New Roman" w:ascii="Times New Roman" w:hAnsi="Times New Roman"/>
          <w:b/>
          <w:sz w:val="24"/>
          <w:szCs w:val="24"/>
          <w:lang w:val="uk-UA" w:eastAsia="ar-SA"/>
        </w:rPr>
        <w:t xml:space="preserve">               </w:t>
      </w:r>
    </w:p>
    <w:p>
      <w:pPr>
        <w:pStyle w:val="Normal"/>
        <w:jc w:val="both"/>
        <w:rPr>
          <w:sz w:val="24"/>
          <w:szCs w:val="24"/>
          <w:lang w:val="uk-UA"/>
        </w:rPr>
      </w:pPr>
      <w:r>
        <w:rPr>
          <w:sz w:val="24"/>
          <w:szCs w:val="24"/>
          <w:lang w:val="uk-UA"/>
        </w:rPr>
      </w:r>
    </w:p>
    <w:p>
      <w:pPr>
        <w:pStyle w:val="Normal"/>
        <w:jc w:val="both"/>
        <w:rPr/>
      </w:pPr>
      <w:r>
        <w:rPr/>
      </w:r>
    </w:p>
    <w:sectPr>
      <w:type w:val="nextPage"/>
      <w:pgSz w:w="11906" w:h="16838"/>
      <w:pgMar w:left="720" w:right="720" w:header="0" w:top="720" w:footer="0" w:bottom="426"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swiss"/>
    <w:pitch w:val="variable"/>
  </w:font>
  <w:font w:name="Calibri">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3"/>
        </w:tabs>
        <w:ind w:left="723" w:hanging="360"/>
      </w:pPr>
      <w:rPr>
        <w:rFonts w:ascii="Calibri" w:hAnsi="Calibri" w:cs="Calibri" w:hint="default"/>
        <w:sz w:val="24"/>
        <w:rFonts w:cs="Times New Roman"/>
      </w:rPr>
    </w:lvl>
    <w:lvl w:ilvl="1">
      <w:start w:val="1"/>
      <w:numFmt w:val="bullet"/>
      <w:lvlText w:val="o"/>
      <w:lvlJc w:val="left"/>
      <w:pPr>
        <w:tabs>
          <w:tab w:val="num" w:pos="1443"/>
        </w:tabs>
        <w:ind w:left="1443" w:hanging="360"/>
      </w:pPr>
      <w:rPr>
        <w:rFonts w:ascii="Courier New" w:hAnsi="Courier New" w:cs="Courier New" w:hint="default"/>
        <w:rFonts w:cs="Courier New"/>
      </w:rPr>
    </w:lvl>
    <w:lvl w:ilvl="2">
      <w:start w:val="1"/>
      <w:numFmt w:val="bullet"/>
      <w:lvlText w:val=""/>
      <w:lvlJc w:val="left"/>
      <w:pPr>
        <w:tabs>
          <w:tab w:val="num" w:pos="2163"/>
        </w:tabs>
        <w:ind w:left="2163" w:hanging="360"/>
      </w:pPr>
      <w:rPr>
        <w:rFonts w:ascii="Wingdings" w:hAnsi="Wingdings" w:cs="Wingdings" w:hint="default"/>
      </w:rPr>
    </w:lvl>
    <w:lvl w:ilvl="3">
      <w:start w:val="1"/>
      <w:numFmt w:val="bullet"/>
      <w:lvlText w:val=""/>
      <w:lvlJc w:val="left"/>
      <w:pPr>
        <w:tabs>
          <w:tab w:val="num" w:pos="2883"/>
        </w:tabs>
        <w:ind w:left="2883" w:hanging="360"/>
      </w:pPr>
      <w:rPr>
        <w:rFonts w:ascii="Symbol" w:hAnsi="Symbol" w:cs="Symbol" w:hint="default"/>
      </w:rPr>
    </w:lvl>
    <w:lvl w:ilvl="4">
      <w:start w:val="1"/>
      <w:numFmt w:val="bullet"/>
      <w:lvlText w:val="o"/>
      <w:lvlJc w:val="left"/>
      <w:pPr>
        <w:tabs>
          <w:tab w:val="num" w:pos="3603"/>
        </w:tabs>
        <w:ind w:left="3603" w:hanging="360"/>
      </w:pPr>
      <w:rPr>
        <w:rFonts w:ascii="Courier New" w:hAnsi="Courier New" w:cs="Courier New" w:hint="default"/>
        <w:rFonts w:cs="Courier New"/>
      </w:rPr>
    </w:lvl>
    <w:lvl w:ilvl="5">
      <w:start w:val="1"/>
      <w:numFmt w:val="bullet"/>
      <w:lvlText w:val=""/>
      <w:lvlJc w:val="left"/>
      <w:pPr>
        <w:tabs>
          <w:tab w:val="num" w:pos="4323"/>
        </w:tabs>
        <w:ind w:left="4323" w:hanging="360"/>
      </w:pPr>
      <w:rPr>
        <w:rFonts w:ascii="Wingdings" w:hAnsi="Wingdings" w:cs="Wingdings" w:hint="default"/>
      </w:rPr>
    </w:lvl>
    <w:lvl w:ilvl="6">
      <w:start w:val="1"/>
      <w:numFmt w:val="bullet"/>
      <w:lvlText w:val=""/>
      <w:lvlJc w:val="left"/>
      <w:pPr>
        <w:tabs>
          <w:tab w:val="num" w:pos="5043"/>
        </w:tabs>
        <w:ind w:left="5043" w:hanging="360"/>
      </w:pPr>
      <w:rPr>
        <w:rFonts w:ascii="Symbol" w:hAnsi="Symbol" w:cs="Symbol" w:hint="default"/>
      </w:rPr>
    </w:lvl>
    <w:lvl w:ilvl="7">
      <w:start w:val="1"/>
      <w:numFmt w:val="bullet"/>
      <w:lvlText w:val="o"/>
      <w:lvlJc w:val="left"/>
      <w:pPr>
        <w:tabs>
          <w:tab w:val="num" w:pos="5763"/>
        </w:tabs>
        <w:ind w:left="5763" w:hanging="360"/>
      </w:pPr>
      <w:rPr>
        <w:rFonts w:ascii="Courier New" w:hAnsi="Courier New" w:cs="Courier New" w:hint="default"/>
        <w:rFonts w:cs="Courier New"/>
      </w:rPr>
    </w:lvl>
    <w:lvl w:ilvl="8">
      <w:start w:val="1"/>
      <w:numFmt w:val="bullet"/>
      <w:lvlText w:val=""/>
      <w:lvlJc w:val="left"/>
      <w:pPr>
        <w:tabs>
          <w:tab w:val="num" w:pos="6483"/>
        </w:tabs>
        <w:ind w:left="6483"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27e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
    <w:name w:val="Heading 1"/>
    <w:basedOn w:val="Normal"/>
    <w:link w:val="10"/>
    <w:qFormat/>
    <w:rsid w:val="006e27ed"/>
    <w:pPr>
      <w:keepNext/>
      <w:ind w:left="5670" w:hanging="5670"/>
      <w:outlineLvl w:val="0"/>
    </w:pPr>
    <w:rPr>
      <w:b/>
      <w:sz w:val="24"/>
    </w:rPr>
  </w:style>
  <w:style w:type="paragraph" w:styleId="2">
    <w:name w:val="Heading 2"/>
    <w:basedOn w:val="Normal"/>
    <w:link w:val="20"/>
    <w:uiPriority w:val="9"/>
    <w:semiHidden/>
    <w:unhideWhenUsed/>
    <w:qFormat/>
    <w:rsid w:val="002b252e"/>
    <w:pPr>
      <w:keepNext/>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qFormat/>
    <w:rsid w:val="006e27ed"/>
    <w:rPr>
      <w:rFonts w:ascii="Times New Roman" w:hAnsi="Times New Roman" w:eastAsia="Times New Roman" w:cs="Times New Roman"/>
      <w:b/>
      <w:sz w:val="24"/>
      <w:szCs w:val="20"/>
      <w:lang w:eastAsia="ru-RU"/>
    </w:rPr>
  </w:style>
  <w:style w:type="character" w:styleId="Style12" w:customStyle="1">
    <w:name w:val="Основной текст Знак"/>
    <w:basedOn w:val="DefaultParagraphFont"/>
    <w:link w:val="a3"/>
    <w:qFormat/>
    <w:rsid w:val="006e27ed"/>
    <w:rPr>
      <w:rFonts w:ascii="Times New Roman" w:hAnsi="Times New Roman" w:eastAsia="Times New Roman" w:cs="Times New Roman"/>
      <w:sz w:val="24"/>
      <w:szCs w:val="20"/>
      <w:lang w:eastAsia="ru-RU"/>
    </w:rPr>
  </w:style>
  <w:style w:type="character" w:styleId="HTML" w:customStyle="1">
    <w:name w:val="Стандартный HTML Знак"/>
    <w:basedOn w:val="DefaultParagraphFont"/>
    <w:link w:val="HTML"/>
    <w:uiPriority w:val="99"/>
    <w:semiHidden/>
    <w:qFormat/>
    <w:rsid w:val="00494a9a"/>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df3905"/>
    <w:rPr/>
  </w:style>
  <w:style w:type="character" w:styleId="Strong">
    <w:name w:val="Strong"/>
    <w:basedOn w:val="DefaultParagraphFont"/>
    <w:uiPriority w:val="22"/>
    <w:qFormat/>
    <w:rsid w:val="005a3335"/>
    <w:rPr>
      <w:b/>
      <w:bCs/>
    </w:rPr>
  </w:style>
  <w:style w:type="character" w:styleId="Style13" w:customStyle="1">
    <w:name w:val="Текст выноски Знак"/>
    <w:basedOn w:val="DefaultParagraphFont"/>
    <w:link w:val="aa"/>
    <w:uiPriority w:val="99"/>
    <w:semiHidden/>
    <w:qFormat/>
    <w:rsid w:val="00430a17"/>
    <w:rPr>
      <w:rFonts w:ascii="Segoe UI" w:hAnsi="Segoe UI" w:eastAsia="Times New Roman" w:cs="Segoe UI"/>
      <w:sz w:val="18"/>
      <w:szCs w:val="18"/>
      <w:lang w:eastAsia="ru-RU"/>
    </w:rPr>
  </w:style>
  <w:style w:type="character" w:styleId="21" w:customStyle="1">
    <w:name w:val="Заголовок 2 Знак"/>
    <w:basedOn w:val="DefaultParagraphFont"/>
    <w:link w:val="2"/>
    <w:uiPriority w:val="9"/>
    <w:semiHidden/>
    <w:qFormat/>
    <w:rsid w:val="002b252e"/>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Style14">
    <w:name w:val="Интернет-ссылка"/>
    <w:basedOn w:val="DefaultParagraphFont"/>
    <w:uiPriority w:val="99"/>
    <w:unhideWhenUsed/>
    <w:rsid w:val="002574e0"/>
    <w:rPr>
      <w:color w:val="0000FF" w:themeColor="hyperlink"/>
      <w:u w:val="single"/>
    </w:rPr>
  </w:style>
  <w:style w:type="character" w:styleId="Style15" w:customStyle="1">
    <w:name w:val="Верхний колонтитул Знак"/>
    <w:basedOn w:val="DefaultParagraphFont"/>
    <w:link w:val="ad"/>
    <w:uiPriority w:val="99"/>
    <w:qFormat/>
    <w:rsid w:val="00b40049"/>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link w:val="af"/>
    <w:uiPriority w:val="99"/>
    <w:qFormat/>
    <w:rsid w:val="00b40049"/>
    <w:rPr>
      <w:rFonts w:ascii="Times New Roman" w:hAnsi="Times New Roman" w:eastAsia="Times New Roman" w:cs="Times New Roman"/>
      <w:sz w:val="20"/>
      <w:szCs w:val="20"/>
      <w:lang w:eastAsia="ru-RU"/>
    </w:rPr>
  </w:style>
  <w:style w:type="character" w:styleId="Annotationreference">
    <w:name w:val="annotation reference"/>
    <w:basedOn w:val="DefaultParagraphFont"/>
    <w:uiPriority w:val="99"/>
    <w:semiHidden/>
    <w:unhideWhenUsed/>
    <w:qFormat/>
    <w:rsid w:val="00847cdb"/>
    <w:rPr>
      <w:sz w:val="16"/>
      <w:szCs w:val="16"/>
    </w:rPr>
  </w:style>
  <w:style w:type="character" w:styleId="Style17" w:customStyle="1">
    <w:name w:val="Текст примечания Знак"/>
    <w:basedOn w:val="DefaultParagraphFont"/>
    <w:link w:val="af2"/>
    <w:uiPriority w:val="99"/>
    <w:semiHidden/>
    <w:qFormat/>
    <w:rsid w:val="00847cdb"/>
    <w:rPr>
      <w:rFonts w:ascii="Times New Roman" w:hAnsi="Times New Roman" w:eastAsia="Times New Roman" w:cs="Times New Roman"/>
      <w:sz w:val="20"/>
      <w:szCs w:val="20"/>
      <w:lang w:eastAsia="ru-RU"/>
    </w:rPr>
  </w:style>
  <w:style w:type="character" w:styleId="Style18" w:customStyle="1">
    <w:name w:val="Тема примечания Знак"/>
    <w:basedOn w:val="Style17"/>
    <w:link w:val="af4"/>
    <w:uiPriority w:val="99"/>
    <w:semiHidden/>
    <w:qFormat/>
    <w:rsid w:val="00847cdb"/>
    <w:rPr>
      <w:rFonts w:ascii="Times New Roman" w:hAnsi="Times New Roman" w:eastAsia="Times New Roman" w:cs="Times New Roman"/>
      <w:b/>
      <w:bCs/>
      <w:sz w:val="20"/>
      <w:szCs w:val="20"/>
      <w:lang w:eastAsia="ru-RU"/>
    </w:rPr>
  </w:style>
  <w:style w:type="character" w:styleId="22" w:customStyle="1">
    <w:name w:val="Основной текст с отступом 2 Знак"/>
    <w:basedOn w:val="DefaultParagraphFont"/>
    <w:link w:val="21"/>
    <w:uiPriority w:val="99"/>
    <w:semiHidden/>
    <w:qFormat/>
    <w:rsid w:val="00e858cd"/>
    <w:rPr>
      <w:rFonts w:ascii="Times New Roman" w:hAnsi="Times New Roman" w:eastAsia="Times New Roman" w:cs="Times New Roman"/>
      <w:sz w:val="20"/>
      <w:szCs w:val="20"/>
      <w:lang w:eastAsia="ru-RU"/>
    </w:rPr>
  </w:style>
  <w:style w:type="character" w:styleId="ListLabel1">
    <w:name w:val="ListLabel 1"/>
    <w:qFormat/>
    <w:rPr>
      <w:b/>
    </w:rPr>
  </w:style>
  <w:style w:type="character" w:styleId="ListLabel2">
    <w:name w:val="ListLabel 2"/>
    <w:qFormat/>
    <w:rPr>
      <w:b/>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Times New Roman"/>
      <w:sz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sz w:val="24"/>
      <w:szCs w:val="24"/>
    </w:rPr>
  </w:style>
  <w:style w:type="character" w:styleId="ListLabel12">
    <w:name w:val="ListLabel 12"/>
    <w:qFormat/>
    <w:rPr>
      <w:b/>
    </w:rPr>
  </w:style>
  <w:style w:type="character" w:styleId="ListLabel13">
    <w:name w:val="ListLabel 13"/>
    <w:qFormat/>
    <w:rPr>
      <w:color w:val="FFFFFF"/>
    </w:rPr>
  </w:style>
  <w:style w:type="character" w:styleId="ListLabel14">
    <w:name w:val="ListLabel 14"/>
    <w:qFormat/>
    <w:rPr>
      <w:rFonts w:eastAsia="Times New Roman" w:cs="Times New Roman"/>
      <w:b/>
    </w:rPr>
  </w:style>
  <w:style w:type="character" w:styleId="ListLabel15">
    <w:name w:val="ListLabel 15"/>
    <w:qFormat/>
    <w:rPr>
      <w:b/>
      <w:strike w:val="false"/>
      <w:dstrike w:val="false"/>
      <w:u w:val="none"/>
      <w:effect w:val="none"/>
    </w:rPr>
  </w:style>
  <w:style w:type="character" w:styleId="ListLabel16">
    <w:name w:val="ListLabel 16"/>
    <w:qFormat/>
    <w:rPr>
      <w:b/>
      <w:sz w:val="24"/>
      <w:szCs w:val="24"/>
    </w:rPr>
  </w:style>
  <w:style w:type="character" w:styleId="ListLabel17">
    <w:name w:val="ListLabel 17"/>
    <w:qFormat/>
    <w:rPr>
      <w:b/>
    </w:rPr>
  </w:style>
  <w:style w:type="character" w:styleId="ListLabel18">
    <w:name w:val="ListLabel 18"/>
    <w:qFormat/>
    <w:rPr>
      <w:rFonts w:eastAsia="Times New Roman" w:cs="Times New Roman"/>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b/>
    </w:rPr>
  </w:style>
  <w:style w:type="character" w:styleId="ListLabel24">
    <w:name w:val="ListLabel 24"/>
    <w:qFormat/>
    <w:rPr>
      <w:b/>
    </w:rPr>
  </w:style>
  <w:style w:type="character" w:styleId="ListLabel25">
    <w:name w:val="ListLabel 25"/>
    <w:qFormat/>
    <w:rPr>
      <w:rFonts w:eastAsia="Calibri" w:cs="Times New Roman"/>
      <w:b w:val="false"/>
      <w:i/>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Style19">
    <w:name w:val="Заголовок"/>
    <w:basedOn w:val="Normal"/>
    <w:next w:val="Style20"/>
    <w:qFormat/>
    <w:pPr>
      <w:keepNext/>
      <w:spacing w:before="240" w:after="120"/>
    </w:pPr>
    <w:rPr>
      <w:rFonts w:ascii="Liberation Sans" w:hAnsi="Liberation Sans" w:eastAsia="Lucida Sans Unicode" w:cs="Mangal"/>
      <w:sz w:val="28"/>
      <w:szCs w:val="28"/>
    </w:rPr>
  </w:style>
  <w:style w:type="paragraph" w:styleId="Style20">
    <w:name w:val="Body Text"/>
    <w:basedOn w:val="Normal"/>
    <w:link w:val="a4"/>
    <w:rsid w:val="006e27ed"/>
    <w:pPr/>
    <w:rPr>
      <w:sz w:val="24"/>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uiPriority w:val="1"/>
    <w:qFormat/>
    <w:rsid w:val="00c40d83"/>
    <w:pPr>
      <w:widowControl/>
      <w:bidi w:val="0"/>
      <w:spacing w:lineRule="auto" w:line="240" w:before="0" w:after="0"/>
      <w:jc w:val="left"/>
    </w:pPr>
    <w:rPr>
      <w:rFonts w:ascii="Calibri" w:hAnsi="Calibri" w:eastAsia="Calibri" w:cs="" w:asciiTheme="minorHAnsi" w:cstheme="minorBidi" w:eastAsiaTheme="minorHAnsi" w:hAnsiTheme="minorHAnsi"/>
      <w:color w:val="auto"/>
      <w:sz w:val="20"/>
      <w:szCs w:val="22"/>
      <w:lang w:val="ru-RU" w:eastAsia="en-US" w:bidi="ar-SA"/>
    </w:rPr>
  </w:style>
  <w:style w:type="paragraph" w:styleId="HTMLPreformatted">
    <w:name w:val="HTML Preformatted"/>
    <w:basedOn w:val="Normal"/>
    <w:link w:val="HTML0"/>
    <w:uiPriority w:val="99"/>
    <w:semiHidden/>
    <w:unhideWhenUsed/>
    <w:qFormat/>
    <w:rsid w:val="00494a9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NormalWeb">
    <w:name w:val="Normal (Web)"/>
    <w:basedOn w:val="Normal"/>
    <w:uiPriority w:val="99"/>
    <w:semiHidden/>
    <w:unhideWhenUsed/>
    <w:qFormat/>
    <w:rsid w:val="00df3905"/>
    <w:pPr>
      <w:spacing w:beforeAutospacing="1" w:afterAutospacing="1"/>
    </w:pPr>
    <w:rPr>
      <w:sz w:val="24"/>
      <w:szCs w:val="24"/>
      <w:lang w:val="uk-UA" w:eastAsia="uk-UA"/>
    </w:rPr>
  </w:style>
  <w:style w:type="paragraph" w:styleId="ListParagraph">
    <w:name w:val="List Paragraph"/>
    <w:basedOn w:val="Normal"/>
    <w:uiPriority w:val="34"/>
    <w:qFormat/>
    <w:rsid w:val="005a2fdb"/>
    <w:pPr>
      <w:spacing w:lineRule="auto" w:line="252" w:before="0" w:after="160"/>
      <w:ind w:left="720" w:hanging="0"/>
      <w:contextualSpacing/>
    </w:pPr>
    <w:rPr>
      <w:rFonts w:ascii="Calibri" w:hAnsi="Calibri" w:eastAsia="Calibri" w:cs="" w:asciiTheme="minorHAnsi" w:cstheme="minorBidi" w:eastAsiaTheme="minorHAnsi" w:hAnsiTheme="minorHAnsi"/>
      <w:sz w:val="22"/>
      <w:szCs w:val="22"/>
      <w:lang w:val="uk-UA" w:eastAsia="en-US"/>
    </w:rPr>
  </w:style>
  <w:style w:type="paragraph" w:styleId="BalloonText">
    <w:name w:val="Balloon Text"/>
    <w:basedOn w:val="Normal"/>
    <w:link w:val="ab"/>
    <w:uiPriority w:val="99"/>
    <w:semiHidden/>
    <w:unhideWhenUsed/>
    <w:qFormat/>
    <w:rsid w:val="00430a17"/>
    <w:pPr/>
    <w:rPr>
      <w:rFonts w:ascii="Segoe UI" w:hAnsi="Segoe UI" w:cs="Segoe UI"/>
      <w:sz w:val="18"/>
      <w:szCs w:val="18"/>
    </w:rPr>
  </w:style>
  <w:style w:type="paragraph" w:styleId="Style24">
    <w:name w:val="Header"/>
    <w:basedOn w:val="Normal"/>
    <w:link w:val="ae"/>
    <w:uiPriority w:val="99"/>
    <w:unhideWhenUsed/>
    <w:rsid w:val="00b40049"/>
    <w:pPr>
      <w:tabs>
        <w:tab w:val="center" w:pos="4677" w:leader="none"/>
        <w:tab w:val="right" w:pos="9355" w:leader="none"/>
      </w:tabs>
    </w:pPr>
    <w:rPr/>
  </w:style>
  <w:style w:type="paragraph" w:styleId="Style25">
    <w:name w:val="Footer"/>
    <w:basedOn w:val="Normal"/>
    <w:link w:val="af0"/>
    <w:uiPriority w:val="99"/>
    <w:unhideWhenUsed/>
    <w:rsid w:val="00b40049"/>
    <w:pPr>
      <w:tabs>
        <w:tab w:val="center" w:pos="4677" w:leader="none"/>
        <w:tab w:val="right" w:pos="9355" w:leader="none"/>
      </w:tabs>
    </w:pPr>
    <w:rPr/>
  </w:style>
  <w:style w:type="paragraph" w:styleId="Annotationtext">
    <w:name w:val="annotation text"/>
    <w:basedOn w:val="Normal"/>
    <w:link w:val="af3"/>
    <w:uiPriority w:val="99"/>
    <w:semiHidden/>
    <w:unhideWhenUsed/>
    <w:qFormat/>
    <w:rsid w:val="00847cdb"/>
    <w:pPr/>
    <w:rPr/>
  </w:style>
  <w:style w:type="paragraph" w:styleId="Annotationsubject">
    <w:name w:val="annotation subject"/>
    <w:basedOn w:val="Annotationtext"/>
    <w:link w:val="af5"/>
    <w:uiPriority w:val="99"/>
    <w:semiHidden/>
    <w:unhideWhenUsed/>
    <w:qFormat/>
    <w:rsid w:val="00847cdb"/>
    <w:pPr/>
    <w:rPr>
      <w:b/>
      <w:bCs/>
    </w:rPr>
  </w:style>
  <w:style w:type="paragraph" w:styleId="BodyTextIndent2">
    <w:name w:val="Body Text Indent 2"/>
    <w:basedOn w:val="Normal"/>
    <w:link w:val="22"/>
    <w:uiPriority w:val="99"/>
    <w:semiHidden/>
    <w:unhideWhenUsed/>
    <w:qFormat/>
    <w:rsid w:val="00e858cd"/>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5a2fdb"/>
    <w:pPr>
      <w:spacing w:after="0" w:line="240" w:lineRule="auto"/>
    </w:pPr>
    <w:rPr>
      <w:lang w:val="uk-UA"/>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ievenergoholding.com.ua/" TargetMode="External"/><Relationship Id="rId3" Type="http://schemas.openxmlformats.org/officeDocument/2006/relationships/hyperlink" Target="http://kievenergoholding.com.u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C818-DE76-417B-BF82-3FEA0E5F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LibreOffice/5.2.2.2$Windows_x86 LibreOffice_project/8f96e87c890bf8fa77463cd4b640a2312823f3ad</Application>
  <Pages>5</Pages>
  <Words>2133</Words>
  <Characters>14281</Characters>
  <CharactersWithSpaces>16332</CharactersWithSpaces>
  <Paragraphs>123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2023-03-27T07:52:00Z</dcterms:created>
  <dc:creator>Admin</dc:creator>
  <dc:description/>
  <dc:language>ru-RU</dc:language>
  <cp:lastModifiedBy>Олександра Євгеніївна Богач</cp:lastModifiedBy>
  <cp:lastPrinted>2023-03-27T11:04:00Z</cp:lastPrinted>
  <dcterms:modified xsi:type="dcterms:W3CDTF">2023-03-27T11:13:00Z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