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lang w:val="uk-UA"/>
        </w:rPr>
      </w:pPr>
      <w:r>
        <w:rPr>
          <w:b/>
          <w:sz w:val="24"/>
          <w:szCs w:val="24"/>
          <w:lang w:val="uk-UA"/>
        </w:rPr>
        <w:t>Повідомлення про скликання річних загальних зборів акціонерів</w:t>
      </w:r>
    </w:p>
    <w:p>
      <w:pPr>
        <w:pStyle w:val="Normal"/>
        <w:jc w:val="center"/>
        <w:rPr>
          <w:b/>
          <w:b/>
          <w:sz w:val="24"/>
          <w:szCs w:val="24"/>
          <w:lang w:val="uk-UA"/>
        </w:rPr>
      </w:pPr>
      <w:r>
        <w:rPr>
          <w:b/>
          <w:sz w:val="24"/>
          <w:szCs w:val="24"/>
          <w:lang w:val="uk-UA"/>
        </w:rPr>
        <w:t>ПРИВАТНОГО АКЦІОНЕРНОГО ТОВАРИСТВА</w:t>
      </w:r>
    </w:p>
    <w:p>
      <w:pPr>
        <w:pStyle w:val="Normal"/>
        <w:jc w:val="center"/>
        <w:rPr>
          <w:b/>
          <w:b/>
          <w:sz w:val="24"/>
          <w:szCs w:val="24"/>
          <w:lang w:val="uk-UA"/>
        </w:rPr>
      </w:pPr>
      <w:r>
        <w:rPr>
          <w:b/>
          <w:sz w:val="24"/>
          <w:szCs w:val="24"/>
          <w:lang w:val="uk-UA"/>
        </w:rPr>
        <w:t>«КОМПАНІЯ КИЇВЕНЕРГОХОЛДИНГ»</w:t>
      </w:r>
    </w:p>
    <w:p>
      <w:pPr>
        <w:pStyle w:val="Normal"/>
        <w:jc w:val="center"/>
        <w:rPr>
          <w:b/>
          <w:b/>
          <w:sz w:val="24"/>
          <w:szCs w:val="24"/>
          <w:lang w:val="uk-UA"/>
        </w:rPr>
      </w:pPr>
      <w:r>
        <w:rPr>
          <w:b/>
          <w:sz w:val="24"/>
          <w:szCs w:val="24"/>
          <w:lang w:val="uk-UA"/>
        </w:rPr>
      </w:r>
    </w:p>
    <w:p>
      <w:pPr>
        <w:pStyle w:val="Normal"/>
        <w:jc w:val="center"/>
        <w:rPr>
          <w:b/>
          <w:b/>
          <w:sz w:val="24"/>
          <w:szCs w:val="24"/>
          <w:lang w:val="uk-UA"/>
        </w:rPr>
      </w:pPr>
      <w:r>
        <w:rPr>
          <w:b/>
          <w:sz w:val="24"/>
          <w:szCs w:val="24"/>
          <w:lang w:val="uk-UA"/>
        </w:rPr>
        <w:t>Шановні акціонери</w:t>
      </w:r>
    </w:p>
    <w:p>
      <w:pPr>
        <w:pStyle w:val="Normal"/>
        <w:jc w:val="center"/>
        <w:rPr>
          <w:b/>
          <w:b/>
          <w:sz w:val="24"/>
          <w:szCs w:val="24"/>
          <w:lang w:val="uk-UA"/>
        </w:rPr>
      </w:pPr>
      <w:r>
        <w:rPr>
          <w:b/>
          <w:sz w:val="24"/>
          <w:szCs w:val="24"/>
          <w:lang w:val="uk-UA"/>
        </w:rPr>
        <w:t>ПРИВАТНОГО АКЦІОНЕРНОГО ТОВАРИСТВА</w:t>
      </w:r>
    </w:p>
    <w:p>
      <w:pPr>
        <w:pStyle w:val="Normal"/>
        <w:jc w:val="center"/>
        <w:rPr>
          <w:b/>
          <w:b/>
          <w:sz w:val="24"/>
          <w:szCs w:val="24"/>
          <w:lang w:val="uk-UA"/>
        </w:rPr>
      </w:pPr>
      <w:r>
        <w:rPr>
          <w:b/>
          <w:sz w:val="24"/>
          <w:szCs w:val="24"/>
          <w:lang w:val="uk-UA"/>
        </w:rPr>
        <w:t>«КОМПАНІЯ КИЇВЕНЕРГОХОЛДИНГ» !</w:t>
      </w:r>
    </w:p>
    <w:p>
      <w:pPr>
        <w:pStyle w:val="Normal"/>
        <w:ind w:firstLine="709"/>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Повідомляємо, що приватне акціонерне товариство «Компанія Київенергохолдинг» (код ЄДРПОУ 34239322, адреса місцезнаходження 03083, м. Київ, пр. Науки, 54-б, надалі - Товариство) скликає та проводить річні загальні збори акціонерів Товариства (надалі – загальні збори Товариства)</w:t>
      </w:r>
      <w:r>
        <w:rPr>
          <w:b/>
          <w:sz w:val="24"/>
          <w:szCs w:val="24"/>
          <w:lang w:val="uk-UA"/>
        </w:rPr>
        <w:t xml:space="preserve"> 16 грудня 2022 року</w:t>
      </w:r>
      <w:r>
        <w:rPr>
          <w:sz w:val="24"/>
          <w:szCs w:val="24"/>
          <w:lang w:val="uk-UA"/>
        </w:rPr>
        <w:t xml:space="preserve"> </w:t>
      </w:r>
      <w:r>
        <w:rPr>
          <w:b/>
          <w:sz w:val="24"/>
          <w:szCs w:val="24"/>
          <w:lang w:val="uk-UA"/>
        </w:rPr>
        <w:t xml:space="preserve">дистанційно </w:t>
      </w:r>
      <w:r>
        <w:rPr>
          <w:sz w:val="24"/>
          <w:szCs w:val="24"/>
          <w:lang w:val="uk-UA"/>
        </w:rPr>
        <w:t>у відповідності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 року № 196 із змінами (далі –Тимчасовий порядок).</w:t>
      </w:r>
    </w:p>
    <w:p>
      <w:pPr>
        <w:pStyle w:val="Normal"/>
        <w:ind w:firstLine="567"/>
        <w:jc w:val="both"/>
        <w:rPr>
          <w:sz w:val="24"/>
          <w:szCs w:val="24"/>
          <w:lang w:val="uk-UA"/>
        </w:rPr>
      </w:pPr>
      <w:r>
        <w:rPr>
          <w:sz w:val="24"/>
          <w:szCs w:val="24"/>
          <w:lang w:val="uk-UA"/>
        </w:rPr>
      </w:r>
    </w:p>
    <w:p>
      <w:pPr>
        <w:pStyle w:val="Normal"/>
        <w:ind w:firstLine="567"/>
        <w:jc w:val="both"/>
        <w:rPr/>
      </w:pPr>
      <w:r>
        <w:rPr>
          <w:sz w:val="24"/>
          <w:szCs w:val="24"/>
          <w:lang w:val="uk-UA"/>
        </w:rPr>
        <w:t xml:space="preserve">Бюлетені для голосування у вільному для акціонерів доступі будуть розміщені на власному веб-сайті Товариства </w:t>
      </w:r>
      <w:hyperlink r:id="rId2">
        <w:r>
          <w:rPr>
            <w:rStyle w:val="Style14"/>
            <w:sz w:val="24"/>
            <w:szCs w:val="24"/>
            <w:lang w:val="uk-UA"/>
          </w:rPr>
          <w:t>http://kievenergoholding.com.ua</w:t>
        </w:r>
      </w:hyperlink>
      <w:r>
        <w:rPr>
          <w:sz w:val="24"/>
          <w:szCs w:val="24"/>
          <w:lang w:val="uk-UA"/>
        </w:rPr>
        <w:t xml:space="preserve">  06 грудня 2022 року.</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Датою дистанційного проведення річних загальних зборів акціонерів Товариства (дата завершення голосування) є 16 грудня 2022 року.</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Бюлетені для голосування на загальних зборах приймаються виключно до 18-00 дати завершення голосування (до 18-00 16 грудня 2022 року).</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Перелік акціонерів, які мають право на участь у загальних зборах скласти станом на 24 годину 12 грудня 2022 року.</w:t>
      </w:r>
    </w:p>
    <w:p>
      <w:pPr>
        <w:pStyle w:val="Normal"/>
        <w:ind w:firstLine="567"/>
        <w:jc w:val="both"/>
        <w:rPr>
          <w:sz w:val="24"/>
          <w:szCs w:val="24"/>
          <w:lang w:val="uk-UA"/>
        </w:rPr>
      </w:pPr>
      <w:r>
        <w:rPr>
          <w:sz w:val="24"/>
          <w:szCs w:val="24"/>
          <w:lang w:val="uk-UA"/>
        </w:rPr>
      </w:r>
    </w:p>
    <w:p>
      <w:pPr>
        <w:pStyle w:val="Normal"/>
        <w:ind w:firstLine="567"/>
        <w:jc w:val="both"/>
        <w:rPr>
          <w:b/>
          <w:b/>
          <w:sz w:val="24"/>
          <w:szCs w:val="24"/>
          <w:lang w:val="uk-UA"/>
        </w:rPr>
      </w:pPr>
      <w:r>
        <w:rPr>
          <w:b/>
          <w:sz w:val="24"/>
          <w:szCs w:val="24"/>
          <w:lang w:val="uk-UA"/>
        </w:rPr>
        <w:t xml:space="preserve">Проект порядку денного загальних зборів Товариства: </w:t>
      </w:r>
    </w:p>
    <w:p>
      <w:pPr>
        <w:pStyle w:val="Normal"/>
        <w:ind w:firstLine="567"/>
        <w:jc w:val="both"/>
        <w:rPr>
          <w:b/>
          <w:b/>
          <w:sz w:val="24"/>
          <w:szCs w:val="24"/>
          <w:lang w:val="uk-UA"/>
        </w:rPr>
      </w:pPr>
      <w:r>
        <w:rPr>
          <w:b/>
          <w:sz w:val="24"/>
          <w:szCs w:val="24"/>
          <w:lang w:val="uk-UA"/>
        </w:rPr>
      </w:r>
    </w:p>
    <w:tbl>
      <w:tblPr>
        <w:tblStyle w:val="a9"/>
        <w:tblW w:w="10411" w:type="dxa"/>
        <w:jc w:val="left"/>
        <w:tblInd w:w="0" w:type="dxa"/>
        <w:tblCellMar>
          <w:top w:w="0" w:type="dxa"/>
          <w:left w:w="108" w:type="dxa"/>
          <w:bottom w:w="0" w:type="dxa"/>
          <w:right w:w="108" w:type="dxa"/>
        </w:tblCellMar>
        <w:tblLook w:firstRow="1" w:noVBand="1" w:lastRow="0" w:firstColumn="1" w:lastColumn="0" w:noHBand="0" w:val="04a0"/>
      </w:tblPr>
      <w:tblGrid>
        <w:gridCol w:w="562"/>
        <w:gridCol w:w="4677"/>
        <w:gridCol w:w="5172"/>
      </w:tblGrid>
      <w:tr>
        <w:trPr/>
        <w:tc>
          <w:tcPr>
            <w:tcW w:w="562"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п/п</w:t>
            </w:r>
          </w:p>
        </w:tc>
        <w:tc>
          <w:tcPr>
            <w:tcW w:w="4677"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 xml:space="preserve">Питання проекту порядку денного </w:t>
            </w:r>
          </w:p>
        </w:tc>
        <w:tc>
          <w:tcPr>
            <w:tcW w:w="5172"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Проект рішення</w:t>
            </w:r>
          </w:p>
        </w:tc>
      </w:tr>
      <w:tr>
        <w:trPr/>
        <w:tc>
          <w:tcPr>
            <w:tcW w:w="562"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1</w:t>
            </w:r>
          </w:p>
        </w:tc>
        <w:tc>
          <w:tcPr>
            <w:tcW w:w="4677" w:type="dxa"/>
            <w:tcBorders/>
            <w:shd w:fill="auto" w:val="clear"/>
            <w:tcMar>
              <w:left w:w="108" w:type="dxa"/>
            </w:tcM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lang w:val="uk-UA"/>
              </w:rPr>
              <w:t>Звіт Генерального директора Товариства за 2021  рік та прийняття рішення за наслідками розгляду звіту  Генерального директора</w:t>
            </w:r>
            <w:r>
              <w:rPr>
                <w:rFonts w:cs="Times New Roman" w:ascii="Times New Roman" w:hAnsi="Times New Roman"/>
                <w:color w:val="FF0000"/>
                <w:sz w:val="24"/>
                <w:szCs w:val="24"/>
                <w:lang w:val="uk-UA"/>
              </w:rPr>
              <w:t xml:space="preserve"> </w:t>
            </w:r>
            <w:r>
              <w:rPr>
                <w:rFonts w:cs="Times New Roman" w:ascii="Times New Roman" w:hAnsi="Times New Roman"/>
                <w:sz w:val="24"/>
                <w:szCs w:val="24"/>
                <w:lang w:val="uk-UA"/>
              </w:rPr>
              <w:t>Товариства за 2021 рік.</w:t>
            </w:r>
          </w:p>
        </w:tc>
        <w:tc>
          <w:tcPr>
            <w:tcW w:w="5172"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i/>
                <w:sz w:val="24"/>
                <w:szCs w:val="24"/>
                <w:lang w:val="uk-UA"/>
              </w:rPr>
              <w:t>Затвердити звіт Генерального директора Товариства за 2021 рік.</w:t>
            </w:r>
          </w:p>
        </w:tc>
      </w:tr>
      <w:tr>
        <w:trPr/>
        <w:tc>
          <w:tcPr>
            <w:tcW w:w="562"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2</w:t>
            </w:r>
          </w:p>
        </w:tc>
        <w:tc>
          <w:tcPr>
            <w:tcW w:w="4677" w:type="dxa"/>
            <w:tcBorders/>
            <w:shd w:fill="auto" w:val="clear"/>
            <w:tcMar>
              <w:left w:w="108" w:type="dxa"/>
            </w:tcM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lang w:val="uk-UA"/>
              </w:rPr>
              <w:t>Звіт Наглядової ради Товариства за 2021  рік та прийняття рішення за наслідками розгляду звіту Наглядової ради Товариства за 2021  рік.</w:t>
            </w:r>
          </w:p>
        </w:tc>
        <w:tc>
          <w:tcPr>
            <w:tcW w:w="5172"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i/>
                <w:sz w:val="24"/>
                <w:szCs w:val="24"/>
                <w:lang w:val="uk-UA"/>
              </w:rPr>
              <w:t>Затвердити звіт Наглядової ради Товариства за 2021 рік.</w:t>
            </w:r>
          </w:p>
        </w:tc>
      </w:tr>
      <w:tr>
        <w:trPr/>
        <w:tc>
          <w:tcPr>
            <w:tcW w:w="562"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3</w:t>
            </w:r>
          </w:p>
        </w:tc>
        <w:tc>
          <w:tcPr>
            <w:tcW w:w="4677"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sz w:val="24"/>
                <w:szCs w:val="24"/>
                <w:lang w:val="uk-UA"/>
              </w:rPr>
              <w:t>Звіт (висновки) Ревізійної комісії Товариства за 2021  рік та прийняття рішення за наслідками розгляду звіту (висновків) Ревізійної комісії Товариства за 2021  рік.</w:t>
            </w:r>
          </w:p>
        </w:tc>
        <w:tc>
          <w:tcPr>
            <w:tcW w:w="5172"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i/>
                <w:sz w:val="24"/>
                <w:szCs w:val="24"/>
                <w:lang w:val="uk-UA"/>
              </w:rPr>
              <w:t>Затвердити звіт (висновки) Ревізійної комісії Товариства за 2021 рік.</w:t>
            </w:r>
          </w:p>
        </w:tc>
      </w:tr>
      <w:tr>
        <w:trPr/>
        <w:tc>
          <w:tcPr>
            <w:tcW w:w="562"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4</w:t>
            </w:r>
          </w:p>
        </w:tc>
        <w:tc>
          <w:tcPr>
            <w:tcW w:w="4677"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sz w:val="24"/>
                <w:szCs w:val="24"/>
                <w:lang w:val="uk-UA"/>
              </w:rPr>
              <w:t>Затвердження річного звіту (річної фінансової звітності) Товариства за 2021  рік.</w:t>
            </w:r>
          </w:p>
        </w:tc>
        <w:tc>
          <w:tcPr>
            <w:tcW w:w="5172"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i/>
                <w:sz w:val="24"/>
                <w:szCs w:val="24"/>
                <w:lang w:val="uk-UA"/>
              </w:rPr>
              <w:t>Затвердити річний звіт (річну фінансову звітність) Товариства за 2021 рік.</w:t>
            </w:r>
          </w:p>
        </w:tc>
      </w:tr>
      <w:tr>
        <w:trPr/>
        <w:tc>
          <w:tcPr>
            <w:tcW w:w="562" w:type="dxa"/>
            <w:tcBorders/>
            <w:shd w:fill="auto" w:val="clear"/>
            <w:tcMar>
              <w:left w:w="108" w:type="dxa"/>
            </w:tcMar>
          </w:tcPr>
          <w:p>
            <w:pPr>
              <w:pStyle w:val="NoSpacing"/>
              <w:spacing w:lineRule="auto" w:line="240" w:before="0" w:after="0"/>
              <w:rPr>
                <w:rFonts w:ascii="Times New Roman" w:hAnsi="Times New Roman" w:cs="Times New Roman"/>
                <w:b/>
                <w:b/>
                <w:sz w:val="24"/>
                <w:szCs w:val="24"/>
              </w:rPr>
            </w:pPr>
            <w:r>
              <w:rPr>
                <w:rFonts w:cs="Times New Roman" w:ascii="Times New Roman" w:hAnsi="Times New Roman"/>
                <w:b/>
                <w:sz w:val="24"/>
                <w:szCs w:val="24"/>
                <w:lang w:val="uk-UA"/>
              </w:rPr>
              <w:t>5</w:t>
            </w:r>
          </w:p>
        </w:tc>
        <w:tc>
          <w:tcPr>
            <w:tcW w:w="4677" w:type="dxa"/>
            <w:tcBorders/>
            <w:shd w:fill="auto" w:val="clear"/>
            <w:tcMar>
              <w:left w:w="108" w:type="dxa"/>
            </w:tcM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lang w:val="uk-UA"/>
              </w:rPr>
              <w:t>Розподіл прибутку (збитків) Товариства за 2021 рік.</w:t>
            </w:r>
          </w:p>
        </w:tc>
        <w:tc>
          <w:tcPr>
            <w:tcW w:w="5172" w:type="dxa"/>
            <w:tcBorders/>
            <w:shd w:fill="auto" w:val="clear"/>
            <w:tcMar>
              <w:left w:w="108" w:type="dxa"/>
            </w:tcMar>
          </w:tcPr>
          <w:p>
            <w:pPr>
              <w:pStyle w:val="NoSpacing"/>
              <w:spacing w:lineRule="auto" w:line="240" w:before="0" w:after="0"/>
              <w:rPr>
                <w:rFonts w:ascii="Times New Roman" w:hAnsi="Times New Roman" w:cs="Times New Roman"/>
                <w:i/>
                <w:i/>
                <w:sz w:val="24"/>
                <w:szCs w:val="24"/>
                <w:highlight w:val="lightGray"/>
              </w:rPr>
            </w:pPr>
            <w:r>
              <w:rPr>
                <w:rFonts w:cs="Times New Roman" w:ascii="Times New Roman" w:hAnsi="Times New Roman"/>
                <w:i/>
                <w:sz w:val="24"/>
                <w:szCs w:val="24"/>
                <w:lang w:val="uk-UA"/>
              </w:rPr>
              <w:t>У зв’язку з наявністю збитків за результатом діяльності у 2021 році прибуток не розподіляти, покриття збитків здійснити за рахунок прибутків наступних періодів.</w:t>
            </w:r>
          </w:p>
        </w:tc>
      </w:tr>
    </w:tbl>
    <w:p>
      <w:pPr>
        <w:pStyle w:val="Normal"/>
        <w:ind w:firstLine="709"/>
        <w:jc w:val="both"/>
        <w:rPr>
          <w:sz w:val="24"/>
          <w:szCs w:val="24"/>
          <w:lang w:val="uk-UA"/>
        </w:rPr>
      </w:pPr>
      <w:r>
        <w:rPr>
          <w:sz w:val="24"/>
          <w:szCs w:val="24"/>
          <w:lang w:val="uk-UA"/>
        </w:rPr>
      </w:r>
    </w:p>
    <w:p>
      <w:pPr>
        <w:pStyle w:val="Normal"/>
        <w:ind w:firstLine="567"/>
        <w:jc w:val="both"/>
        <w:rPr/>
      </w:pPr>
      <w:r>
        <w:rPr>
          <w:sz w:val="24"/>
          <w:szCs w:val="24"/>
          <w:lang w:val="uk-UA"/>
        </w:rPr>
        <w:t xml:space="preserve">Інформація про проведення загальних зборів Товариства, разом  з проектами рішень щодо кожного з питань, включених до проекту порядку денного, а також інформація про загальну кількість акцій та голосуючих акцій станом на дату складення переліку осіб, яким надсилається повідомлення про проведення загальних зборів та перелік документів, що має надати акціонер (представник акціонера) для його участі у загальних зборах, розміщена на веб-сайті Товариства: </w:t>
      </w:r>
      <w:hyperlink r:id="rId3">
        <w:r>
          <w:rPr>
            <w:rStyle w:val="Style14"/>
            <w:sz w:val="24"/>
            <w:szCs w:val="24"/>
            <w:lang w:val="uk-UA"/>
          </w:rPr>
          <w:t>http://kievenergoholding.com.ua</w:t>
        </w:r>
      </w:hyperlink>
      <w:r>
        <w:rPr>
          <w:sz w:val="24"/>
          <w:szCs w:val="24"/>
          <w:lang w:val="uk-UA"/>
        </w:rPr>
        <w:t>.</w:t>
      </w:r>
    </w:p>
    <w:p>
      <w:pPr>
        <w:pStyle w:val="Normal"/>
        <w:ind w:firstLine="567"/>
        <w:jc w:val="both"/>
        <w:rPr>
          <w:sz w:val="24"/>
          <w:szCs w:val="24"/>
          <w:lang w:val="uk-UA"/>
        </w:rPr>
      </w:pPr>
      <w:r>
        <w:rPr>
          <w:sz w:val="24"/>
          <w:szCs w:val="24"/>
          <w:lang w:val="uk-UA"/>
        </w:rPr>
      </w:r>
    </w:p>
    <w:p>
      <w:pPr>
        <w:pStyle w:val="Normal"/>
        <w:ind w:firstLine="567"/>
        <w:jc w:val="both"/>
        <w:rPr>
          <w:sz w:val="24"/>
          <w:szCs w:val="24"/>
        </w:rPr>
      </w:pPr>
      <w:r>
        <w:rPr>
          <w:sz w:val="24"/>
          <w:szCs w:val="24"/>
          <w:lang w:val="uk-UA"/>
        </w:rPr>
        <w:t xml:space="preserve">Кожен акціонер має право отримати, а Товариство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 Від дати надсилання повідомлення про проведення загальних зборів до дати проведення загальних зборів ПрАТ «Компанія Київенергохолдинг» повинно надати акціонерам можливість ознайомитися з документами, необхідними для прийняття рішень з питань порядку денного шляхом направлення документів акціонеру на його запит засобами електронної пошти </w:t>
      </w:r>
      <w:r>
        <w:rPr>
          <w:sz w:val="24"/>
          <w:szCs w:val="24"/>
          <w:lang w:val="en-US"/>
        </w:rPr>
        <w:t>fedorenko</w:t>
      </w:r>
      <w:r>
        <w:rPr>
          <w:sz w:val="24"/>
          <w:szCs w:val="24"/>
        </w:rPr>
        <w:t>@</w:t>
      </w:r>
      <w:r>
        <w:rPr>
          <w:sz w:val="24"/>
          <w:szCs w:val="24"/>
          <w:lang w:val="en-US"/>
        </w:rPr>
        <w:t>gukv</w:t>
      </w:r>
      <w:r>
        <w:rPr>
          <w:sz w:val="24"/>
          <w:szCs w:val="24"/>
        </w:rPr>
        <w:t>.</w:t>
      </w:r>
      <w:r>
        <w:rPr>
          <w:sz w:val="24"/>
          <w:szCs w:val="24"/>
          <w:lang w:val="en-US"/>
        </w:rPr>
        <w:t>gov</w:t>
      </w:r>
      <w:r>
        <w:rPr>
          <w:sz w:val="24"/>
          <w:szCs w:val="24"/>
        </w:rPr>
        <w:t>.</w:t>
      </w:r>
      <w:r>
        <w:rPr>
          <w:sz w:val="24"/>
          <w:szCs w:val="24"/>
          <w:lang w:val="en-US"/>
        </w:rPr>
        <w:t>ua</w:t>
      </w:r>
      <w:r>
        <w:rPr>
          <w:sz w:val="24"/>
          <w:szCs w:val="24"/>
        </w:rPr>
        <w:t>.</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fedorenko@gukv.gov.ua.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Товариство до дати проведення загальних зборів надає відповіді на запитання акціонерів щодо питань, включених до проекту порядку денного загальних зборів та порядку денного загальних зборів. Відповідні запити направляються акціонерами на адресу електронної пошти fedorenko@gukv.gov.ua</w:t>
      </w:r>
      <w:r>
        <w:rPr>
          <w:i/>
          <w:sz w:val="24"/>
          <w:szCs w:val="24"/>
          <w:lang w:val="uk-UA"/>
        </w:rPr>
        <w:t xml:space="preserve"> </w:t>
      </w:r>
      <w:r>
        <w:rPr>
          <w:sz w:val="24"/>
          <w:szCs w:val="24"/>
          <w:lang w:val="uk-UA"/>
        </w:rPr>
        <w:t>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 xml:space="preserve">Посадова особа, яка відповідатиме за ознайомлення акціонерів з документами з матеріалами (документами), необхідними для прийняття рішень з питань порядку денного загальних зборів під час підготовки до загальних зборів, та прийняття пропозицій – Федоренко Олег Іванович, тел. (044) 202-61-00. </w:t>
      </w:r>
    </w:p>
    <w:p>
      <w:pPr>
        <w:pStyle w:val="Normal"/>
        <w:ind w:firstLine="567"/>
        <w:jc w:val="both"/>
        <w:rPr>
          <w:sz w:val="24"/>
          <w:szCs w:val="24"/>
          <w:lang w:val="uk-UA"/>
        </w:rPr>
      </w:pPr>
      <w:r>
        <w:rPr>
          <w:sz w:val="24"/>
          <w:szCs w:val="24"/>
          <w:lang w:val="uk-UA"/>
        </w:rPr>
        <w:t>Кожний акціонер має право внести пропозиції щодо питань, включених до проекту порядку денного загальних зборів. Пропозиції вносяться не пізніше ніж за 20 днів до дати проведення загальних зборів. Пропозиція до порядку денного загальних зборів може бути направлена акціонером у вигляді електронного документу із зазначенням реквізитів акціонера, який її вносить, кількості, типу та/або класу належних йому акцій, змісту пропозиції до питання та/або проекту рішення, та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fedorenko@gukv.gov.ua.</w:t>
      </w:r>
    </w:p>
    <w:p>
      <w:pPr>
        <w:pStyle w:val="Normal"/>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ПрАТ «Компанія Київенергохолдинг» на дату складення переліку акціонерів, які мають право на участь у загальних зборах (станом на 24 годину 12 грудня 2022 року). Голосування на загальних зборах з питань порядку денного проводиться виключно з використанням бюлетенів для голосування.</w:t>
      </w:r>
    </w:p>
    <w:p>
      <w:pPr>
        <w:pStyle w:val="Normal"/>
        <w:ind w:firstLine="567"/>
        <w:jc w:val="both"/>
        <w:rPr>
          <w:sz w:val="24"/>
          <w:szCs w:val="24"/>
        </w:rPr>
      </w:pPr>
      <w:r>
        <w:rPr>
          <w:sz w:val="24"/>
          <w:szCs w:val="24"/>
        </w:rPr>
      </w:r>
    </w:p>
    <w:p>
      <w:pPr>
        <w:pStyle w:val="Normal"/>
        <w:ind w:firstLine="567"/>
        <w:jc w:val="both"/>
        <w:rPr>
          <w:sz w:val="24"/>
          <w:szCs w:val="24"/>
        </w:rPr>
      </w:pPr>
      <w:r>
        <w:rPr>
          <w:sz w:val="24"/>
          <w:szCs w:val="24"/>
        </w:rPr>
      </w:r>
    </w:p>
    <w:p>
      <w:pPr>
        <w:pStyle w:val="Normal"/>
        <w:ind w:firstLine="567"/>
        <w:jc w:val="both"/>
        <w:rPr>
          <w:sz w:val="24"/>
          <w:szCs w:val="24"/>
          <w:lang w:val="uk-UA"/>
        </w:rPr>
      </w:pPr>
      <w:r>
        <w:rPr>
          <w:sz w:val="24"/>
          <w:szCs w:val="24"/>
          <w:lang w:val="uk-UA"/>
        </w:rPr>
        <w:t>Бюлетені для голосування на загальних зборах приймаються виключно до 18-00 дати завершення голосування (до 18-00 16.12.2022 року).</w:t>
      </w:r>
    </w:p>
    <w:p>
      <w:pPr>
        <w:pStyle w:val="Normal"/>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У разі, якщо акціонер має рахунки в цінних паперах в декількох депозитарних установах, на яких обліковуються акції ПрАТ «Компанія Київенергохолдинг»,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pPr>
        <w:pStyle w:val="Normal"/>
        <w:ind w:firstLine="567"/>
        <w:jc w:val="both"/>
        <w:rPr>
          <w:sz w:val="24"/>
          <w:szCs w:val="24"/>
          <w:lang w:val="uk-UA"/>
        </w:rPr>
      </w:pPr>
      <w:r>
        <w:rPr>
          <w:sz w:val="24"/>
          <w:szCs w:val="24"/>
          <w:lang w:val="uk-UA"/>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 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Акціонер має право призначити свого представника постійно або на певний строк. </w:t>
      </w:r>
    </w:p>
    <w:p>
      <w:pPr>
        <w:pStyle w:val="Normal"/>
        <w:ind w:firstLine="567"/>
        <w:jc w:val="both"/>
        <w:rPr>
          <w:sz w:val="24"/>
          <w:szCs w:val="24"/>
          <w:lang w:val="uk-UA"/>
        </w:rPr>
      </w:pPr>
      <w:r>
        <w:rPr>
          <w:sz w:val="24"/>
          <w:szCs w:val="24"/>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w:t>
      </w:r>
    </w:p>
    <w:p>
      <w:pPr>
        <w:pStyle w:val="Normal"/>
        <w:ind w:firstLine="567"/>
        <w:jc w:val="both"/>
        <w:rPr>
          <w:sz w:val="24"/>
          <w:szCs w:val="24"/>
          <w:lang w:val="uk-UA"/>
        </w:rPr>
      </w:pPr>
      <w:r>
        <w:rPr>
          <w:sz w:val="24"/>
          <w:szCs w:val="24"/>
          <w:lang w:val="uk-UA"/>
        </w:rPr>
        <w:t>Акціонер має право видати довіреність на право участі та голосування на загальних зборах декільком своїм представникам.</w:t>
      </w:r>
    </w:p>
    <w:p>
      <w:pPr>
        <w:pStyle w:val="Normal"/>
        <w:ind w:firstLine="567"/>
        <w:jc w:val="both"/>
        <w:rPr>
          <w:sz w:val="24"/>
          <w:szCs w:val="24"/>
          <w:lang w:val="uk-UA"/>
        </w:rPr>
      </w:pPr>
      <w:r>
        <w:rPr>
          <w:sz w:val="24"/>
          <w:szCs w:val="24"/>
          <w:lang w:val="uk-UA"/>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pPr>
        <w:pStyle w:val="Normal"/>
        <w:ind w:firstLine="567"/>
        <w:jc w:val="both"/>
        <w:rPr>
          <w:sz w:val="24"/>
          <w:szCs w:val="24"/>
          <w:lang w:val="uk-UA"/>
        </w:rPr>
      </w:pPr>
      <w:r>
        <w:rPr>
          <w:sz w:val="24"/>
          <w:szCs w:val="24"/>
          <w:lang w:val="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Датою початку голосування акціонерів з відповідних питань порядку денного є дата розміщення відповідного бюлетеню для голосування у вільному для акціонерів доступі (голосування розпочинається з моменту розміщення на веб-сайті Товариства відповідного бюлетеня для голосування). Датою закінчення голосування акціонерів є дата проведення загальних зборів. 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w:t>
      </w:r>
    </w:p>
    <w:p>
      <w:pPr>
        <w:pStyle w:val="Normal"/>
        <w:ind w:firstLine="567"/>
        <w:jc w:val="both"/>
        <w:rPr>
          <w:sz w:val="24"/>
          <w:szCs w:val="24"/>
          <w:lang w:val="uk-UA"/>
        </w:rPr>
      </w:pPr>
      <w:r>
        <w:rPr>
          <w:sz w:val="24"/>
          <w:szCs w:val="24"/>
          <w:lang w:val="uk-UA"/>
        </w:rPr>
        <w:t>Кількість голосів акціонера в бюлетені для голосуванні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pPr>
        <w:pStyle w:val="Normal"/>
        <w:ind w:firstLine="567"/>
        <w:jc w:val="both"/>
        <w:rPr>
          <w:sz w:val="24"/>
          <w:szCs w:val="24"/>
          <w:lang w:val="uk-UA"/>
        </w:rPr>
      </w:pPr>
      <w:r>
        <w:rPr>
          <w:sz w:val="24"/>
          <w:szCs w:val="24"/>
          <w:lang w:val="uk-UA"/>
        </w:rPr>
        <w:t>Бюлетень для голосування на загальних зборах засвідчується одним з наступних способів за вибором акціонера:</w:t>
      </w:r>
    </w:p>
    <w:p>
      <w:pPr>
        <w:pStyle w:val="Normal"/>
        <w:ind w:firstLine="567"/>
        <w:jc w:val="both"/>
        <w:rPr>
          <w:sz w:val="24"/>
          <w:szCs w:val="24"/>
          <w:lang w:val="uk-UA"/>
        </w:rPr>
      </w:pPr>
      <w:r>
        <w:rPr>
          <w:sz w:val="24"/>
          <w:szCs w:val="24"/>
          <w:lang w:val="uk-UA"/>
        </w:rPr>
        <w:t>1) за допомогою кваліфікованого електронного підпису акціонера (його представника);</w:t>
      </w:r>
    </w:p>
    <w:p>
      <w:pPr>
        <w:pStyle w:val="Normal"/>
        <w:ind w:firstLine="567"/>
        <w:jc w:val="both"/>
        <w:rPr>
          <w:sz w:val="24"/>
          <w:szCs w:val="24"/>
          <w:lang w:val="uk-UA"/>
        </w:rPr>
      </w:pPr>
      <w:r>
        <w:rPr>
          <w:sz w:val="24"/>
          <w:szCs w:val="24"/>
          <w:lang w:val="uk-UA"/>
        </w:rPr>
        <w:t>2) нотаріально, за умови підписання бюлетеня в присутності нотаріуса або посадової особи,</w:t>
      </w:r>
    </w:p>
    <w:p>
      <w:pPr>
        <w:pStyle w:val="Normal"/>
        <w:ind w:firstLine="567"/>
        <w:jc w:val="both"/>
        <w:rPr>
          <w:sz w:val="24"/>
          <w:szCs w:val="24"/>
          <w:lang w:val="uk-UA"/>
        </w:rPr>
      </w:pPr>
      <w:r>
        <w:rPr>
          <w:sz w:val="24"/>
          <w:szCs w:val="24"/>
          <w:lang w:val="uk-UA"/>
        </w:rPr>
        <w:t>яка вчиняє нотаріальні дії;</w:t>
      </w:r>
    </w:p>
    <w:p>
      <w:pPr>
        <w:pStyle w:val="Normal"/>
        <w:ind w:firstLine="567"/>
        <w:jc w:val="both"/>
        <w:rPr>
          <w:sz w:val="24"/>
          <w:szCs w:val="24"/>
          <w:lang w:val="uk-UA"/>
        </w:rPr>
      </w:pPr>
      <w:r>
        <w:rPr>
          <w:sz w:val="24"/>
          <w:szCs w:val="24"/>
          <w:lang w:val="uk-UA"/>
        </w:rPr>
        <w:t>3) депозитарною установою, яка обслуговує рахунок в цінних паперах такого акціонера, на якому обліковуються належні акціонеру акції ПрАТ «Компанія Київенергохолдинг», за умови підписання бюлетеня в присутності уповноваженої особи депозитарної установи.</w:t>
      </w:r>
    </w:p>
    <w:p>
      <w:pPr>
        <w:pStyle w:val="Normal"/>
        <w:ind w:firstLine="567"/>
        <w:jc w:val="both"/>
        <w:rPr>
          <w:sz w:val="24"/>
          <w:szCs w:val="24"/>
          <w:lang w:val="uk-UA"/>
        </w:rPr>
      </w:pPr>
      <w:r>
        <w:rPr>
          <w:sz w:val="24"/>
          <w:szCs w:val="24"/>
          <w:lang w:val="uk-UA"/>
        </w:rPr>
      </w:r>
    </w:p>
    <w:p>
      <w:pPr>
        <w:pStyle w:val="Normal"/>
        <w:ind w:firstLine="567"/>
        <w:jc w:val="both"/>
        <w:rPr>
          <w:sz w:val="24"/>
          <w:szCs w:val="24"/>
          <w:lang w:val="uk-UA"/>
        </w:rPr>
      </w:pPr>
      <w:r>
        <w:rPr>
          <w:sz w:val="24"/>
          <w:szCs w:val="24"/>
          <w:lang w:val="uk-UA"/>
        </w:rPr>
        <w:t>ПрАТ «Компанія Київенергохолдинг»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p>
      <w:pPr>
        <w:pStyle w:val="Normal"/>
        <w:jc w:val="both"/>
        <w:rPr>
          <w:sz w:val="24"/>
          <w:szCs w:val="24"/>
          <w:lang w:val="uk-UA"/>
        </w:rPr>
      </w:pPr>
      <w:r>
        <w:rPr>
          <w:sz w:val="24"/>
          <w:szCs w:val="24"/>
          <w:lang w:val="uk-UA"/>
        </w:rPr>
      </w:r>
    </w:p>
    <w:p>
      <w:pPr>
        <w:pStyle w:val="Normal"/>
        <w:rPr>
          <w:b/>
          <w:b/>
          <w:sz w:val="24"/>
          <w:szCs w:val="24"/>
          <w:lang w:val="uk-UA"/>
        </w:rPr>
      </w:pPr>
      <w:r>
        <w:rPr>
          <w:b/>
          <w:sz w:val="24"/>
          <w:szCs w:val="24"/>
          <w:lang w:val="uk-UA"/>
        </w:rPr>
        <w:t>Основні показники фінансово-господарської діяльності Товариства (тис.грн.)</w:t>
      </w:r>
    </w:p>
    <w:p>
      <w:pPr>
        <w:pStyle w:val="Normal"/>
        <w:jc w:val="both"/>
        <w:rPr>
          <w:sz w:val="24"/>
          <w:szCs w:val="24"/>
          <w:lang w:val="uk-UA"/>
        </w:rPr>
      </w:pPr>
      <w:r>
        <w:rPr>
          <w:sz w:val="24"/>
          <w:szCs w:val="24"/>
          <w:lang w:val="uk-UA"/>
        </w:rPr>
      </w:r>
    </w:p>
    <w:tbl>
      <w:tblPr>
        <w:tblStyle w:val="a9"/>
        <w:tblW w:w="9345" w:type="dxa"/>
        <w:jc w:val="left"/>
        <w:tblInd w:w="0" w:type="dxa"/>
        <w:tblCellMar>
          <w:top w:w="0" w:type="dxa"/>
          <w:left w:w="108" w:type="dxa"/>
          <w:bottom w:w="0" w:type="dxa"/>
          <w:right w:w="108" w:type="dxa"/>
        </w:tblCellMar>
        <w:tblLook w:firstRow="1" w:noVBand="1" w:lastRow="0" w:firstColumn="1" w:lastColumn="0" w:noHBand="0" w:val="04a0"/>
      </w:tblPr>
      <w:tblGrid>
        <w:gridCol w:w="4659"/>
        <w:gridCol w:w="2358"/>
        <w:gridCol w:w="2328"/>
      </w:tblGrid>
      <w:tr>
        <w:trPr/>
        <w:tc>
          <w:tcPr>
            <w:tcW w:w="4659" w:type="dxa"/>
            <w:vMerge w:val="restart"/>
            <w:tcBorders/>
            <w:shd w:fill="auto" w:val="clear"/>
            <w:tcMar>
              <w:left w:w="108" w:type="dxa"/>
            </w:tcMar>
          </w:tcPr>
          <w:p>
            <w:pPr>
              <w:pStyle w:val="Normal"/>
              <w:spacing w:lineRule="auto" w:line="240" w:before="0" w:after="0"/>
              <w:jc w:val="center"/>
              <w:rPr>
                <w:b/>
                <w:b/>
                <w:sz w:val="24"/>
                <w:szCs w:val="24"/>
              </w:rPr>
            </w:pPr>
            <w:r>
              <w:rPr>
                <w:b/>
                <w:sz w:val="24"/>
                <w:szCs w:val="24"/>
                <w:lang w:val="uk-UA"/>
              </w:rPr>
              <w:t>Найменування показника</w:t>
            </w:r>
          </w:p>
        </w:tc>
        <w:tc>
          <w:tcPr>
            <w:tcW w:w="4686" w:type="dxa"/>
            <w:gridSpan w:val="2"/>
            <w:tcBorders/>
            <w:shd w:fill="auto" w:val="clear"/>
            <w:tcMar>
              <w:left w:w="108" w:type="dxa"/>
            </w:tcMar>
          </w:tcPr>
          <w:p>
            <w:pPr>
              <w:pStyle w:val="Normal"/>
              <w:spacing w:lineRule="auto" w:line="240" w:before="0" w:after="0"/>
              <w:jc w:val="center"/>
              <w:rPr>
                <w:b/>
                <w:b/>
                <w:sz w:val="24"/>
                <w:szCs w:val="24"/>
              </w:rPr>
            </w:pPr>
            <w:r>
              <w:rPr>
                <w:b/>
                <w:sz w:val="24"/>
                <w:szCs w:val="24"/>
                <w:lang w:val="uk-UA"/>
              </w:rPr>
              <w:t>Період</w:t>
            </w:r>
          </w:p>
        </w:tc>
      </w:tr>
      <w:tr>
        <w:trPr/>
        <w:tc>
          <w:tcPr>
            <w:tcW w:w="4659" w:type="dxa"/>
            <w:vMerge w:val="continue"/>
            <w:tcBorders/>
            <w:shd w:fill="auto" w:val="clear"/>
            <w:tcMar>
              <w:left w:w="108" w:type="dxa"/>
            </w:tcMar>
          </w:tcPr>
          <w:p>
            <w:pPr>
              <w:pStyle w:val="Normal"/>
              <w:spacing w:lineRule="auto" w:line="240" w:before="0" w:after="0"/>
              <w:jc w:val="center"/>
              <w:rPr>
                <w:b/>
                <w:b/>
                <w:sz w:val="24"/>
                <w:szCs w:val="24"/>
                <w:lang w:val="uk-UA"/>
              </w:rPr>
            </w:pPr>
            <w:r>
              <w:rPr>
                <w:b/>
                <w:sz w:val="24"/>
                <w:szCs w:val="24"/>
                <w:lang w:val="uk-UA"/>
              </w:rPr>
            </w:r>
          </w:p>
        </w:tc>
        <w:tc>
          <w:tcPr>
            <w:tcW w:w="2358" w:type="dxa"/>
            <w:tcBorders/>
            <w:shd w:fill="auto" w:val="clear"/>
            <w:tcMar>
              <w:left w:w="108" w:type="dxa"/>
            </w:tcMar>
          </w:tcPr>
          <w:p>
            <w:pPr>
              <w:pStyle w:val="Normal"/>
              <w:spacing w:lineRule="auto" w:line="240" w:before="0" w:after="0"/>
              <w:jc w:val="center"/>
              <w:rPr>
                <w:b/>
                <w:b/>
                <w:sz w:val="24"/>
                <w:szCs w:val="24"/>
              </w:rPr>
            </w:pPr>
            <w:r>
              <w:rPr>
                <w:b/>
                <w:sz w:val="24"/>
                <w:szCs w:val="24"/>
                <w:lang w:val="uk-UA"/>
              </w:rPr>
              <w:t>Звітний</w:t>
            </w:r>
          </w:p>
        </w:tc>
        <w:tc>
          <w:tcPr>
            <w:tcW w:w="2328" w:type="dxa"/>
            <w:tcBorders/>
            <w:shd w:fill="auto" w:val="clear"/>
            <w:tcMar>
              <w:left w:w="108" w:type="dxa"/>
            </w:tcMar>
          </w:tcPr>
          <w:p>
            <w:pPr>
              <w:pStyle w:val="Normal"/>
              <w:spacing w:lineRule="auto" w:line="240" w:before="0" w:after="0"/>
              <w:jc w:val="center"/>
              <w:rPr>
                <w:b/>
                <w:b/>
                <w:sz w:val="24"/>
                <w:szCs w:val="24"/>
              </w:rPr>
            </w:pPr>
            <w:r>
              <w:rPr>
                <w:b/>
                <w:sz w:val="24"/>
                <w:szCs w:val="24"/>
                <w:lang w:val="uk-UA"/>
              </w:rPr>
              <w:t>Попередній</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Усього активів</w:t>
            </w:r>
          </w:p>
        </w:tc>
        <w:tc>
          <w:tcPr>
            <w:tcW w:w="2358" w:type="dxa"/>
            <w:tcBorders/>
            <w:shd w:fill="auto" w:val="clear"/>
            <w:tcMar>
              <w:left w:w="108" w:type="dxa"/>
            </w:tcMar>
          </w:tcPr>
          <w:p>
            <w:pPr>
              <w:pStyle w:val="Normal"/>
              <w:spacing w:lineRule="auto" w:line="240" w:before="0" w:after="0"/>
              <w:jc w:val="both"/>
              <w:rPr>
                <w:sz w:val="24"/>
                <w:szCs w:val="24"/>
              </w:rPr>
            </w:pPr>
            <w:r>
              <w:rPr>
                <w:sz w:val="24"/>
                <w:szCs w:val="24"/>
                <w:lang w:val="uk-UA"/>
              </w:rPr>
              <w:t>340690</w:t>
            </w:r>
          </w:p>
        </w:tc>
        <w:tc>
          <w:tcPr>
            <w:tcW w:w="2328" w:type="dxa"/>
            <w:tcBorders/>
            <w:shd w:fill="auto" w:val="clear"/>
            <w:tcMar>
              <w:left w:w="108" w:type="dxa"/>
            </w:tcMar>
          </w:tcPr>
          <w:p>
            <w:pPr>
              <w:pStyle w:val="Normal"/>
              <w:spacing w:lineRule="auto" w:line="240" w:before="0" w:after="0"/>
              <w:jc w:val="both"/>
              <w:rPr>
                <w:sz w:val="24"/>
                <w:szCs w:val="24"/>
              </w:rPr>
            </w:pPr>
            <w:r>
              <w:rPr>
                <w:sz w:val="24"/>
                <w:szCs w:val="24"/>
                <w:lang w:val="uk-UA"/>
              </w:rPr>
              <w:t>367648</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Основні засоби (за залишковою вартістю)</w:t>
            </w:r>
          </w:p>
        </w:tc>
        <w:tc>
          <w:tcPr>
            <w:tcW w:w="2358" w:type="dxa"/>
            <w:tcBorders/>
            <w:shd w:fill="auto" w:val="clear"/>
            <w:tcMar>
              <w:left w:w="108" w:type="dxa"/>
            </w:tcMar>
          </w:tcPr>
          <w:p>
            <w:pPr>
              <w:pStyle w:val="Normal"/>
              <w:spacing w:lineRule="auto" w:line="240" w:before="0" w:after="0"/>
              <w:jc w:val="both"/>
              <w:rPr>
                <w:sz w:val="24"/>
                <w:szCs w:val="24"/>
                <w:lang w:val="en-US"/>
              </w:rPr>
            </w:pPr>
            <w:r>
              <w:rPr>
                <w:sz w:val="24"/>
                <w:szCs w:val="24"/>
                <w:lang w:val="en-US"/>
              </w:rPr>
              <w:t>73</w:t>
            </w:r>
          </w:p>
        </w:tc>
        <w:tc>
          <w:tcPr>
            <w:tcW w:w="2328" w:type="dxa"/>
            <w:tcBorders/>
            <w:shd w:fill="auto" w:val="clear"/>
            <w:tcMar>
              <w:left w:w="108" w:type="dxa"/>
            </w:tcMar>
          </w:tcPr>
          <w:p>
            <w:pPr>
              <w:pStyle w:val="Normal"/>
              <w:spacing w:lineRule="auto" w:line="240" w:before="0" w:after="0"/>
              <w:jc w:val="both"/>
              <w:rPr>
                <w:sz w:val="24"/>
                <w:szCs w:val="24"/>
              </w:rPr>
            </w:pPr>
            <w:r>
              <w:rPr>
                <w:sz w:val="24"/>
                <w:szCs w:val="24"/>
                <w:lang w:val="uk-UA"/>
              </w:rPr>
              <w:t>64</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Сумарна дебіторська заборгованість</w:t>
            </w:r>
          </w:p>
        </w:tc>
        <w:tc>
          <w:tcPr>
            <w:tcW w:w="2358" w:type="dxa"/>
            <w:tcBorders/>
            <w:shd w:color="auto" w:fill="auto" w:val="clear"/>
            <w:tcMar>
              <w:left w:w="108" w:type="dxa"/>
            </w:tcMar>
          </w:tcPr>
          <w:p>
            <w:pPr>
              <w:pStyle w:val="Normal"/>
              <w:spacing w:lineRule="auto" w:line="240" w:before="0" w:after="0"/>
              <w:jc w:val="both"/>
              <w:rPr>
                <w:sz w:val="24"/>
                <w:szCs w:val="24"/>
              </w:rPr>
            </w:pPr>
            <w:r>
              <w:rPr>
                <w:sz w:val="24"/>
                <w:szCs w:val="24"/>
                <w:lang w:val="uk-UA"/>
              </w:rPr>
              <w:t>7740</w:t>
            </w:r>
          </w:p>
        </w:tc>
        <w:tc>
          <w:tcPr>
            <w:tcW w:w="2328" w:type="dxa"/>
            <w:tcBorders/>
            <w:shd w:fill="auto" w:val="clear"/>
            <w:tcMar>
              <w:left w:w="108" w:type="dxa"/>
            </w:tcMar>
          </w:tcPr>
          <w:p>
            <w:pPr>
              <w:pStyle w:val="Normal"/>
              <w:spacing w:lineRule="auto" w:line="240" w:before="0" w:after="0"/>
              <w:jc w:val="both"/>
              <w:rPr>
                <w:sz w:val="24"/>
                <w:szCs w:val="24"/>
              </w:rPr>
            </w:pPr>
            <w:r>
              <w:rPr>
                <w:sz w:val="24"/>
                <w:szCs w:val="24"/>
                <w:lang w:val="uk-UA"/>
              </w:rPr>
              <w:t>12742</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Грошові кошти та їх еквіваленти</w:t>
            </w:r>
          </w:p>
        </w:tc>
        <w:tc>
          <w:tcPr>
            <w:tcW w:w="2358" w:type="dxa"/>
            <w:tcBorders/>
            <w:shd w:fill="auto" w:val="clear"/>
            <w:tcMar>
              <w:left w:w="108" w:type="dxa"/>
            </w:tcMar>
          </w:tcPr>
          <w:p>
            <w:pPr>
              <w:pStyle w:val="Normal"/>
              <w:spacing w:lineRule="auto" w:line="240" w:before="0" w:after="0"/>
              <w:jc w:val="both"/>
              <w:rPr>
                <w:sz w:val="24"/>
                <w:szCs w:val="24"/>
                <w:lang w:val="en-US"/>
              </w:rPr>
            </w:pPr>
            <w:r>
              <w:rPr>
                <w:sz w:val="24"/>
                <w:szCs w:val="24"/>
                <w:lang w:val="en-US"/>
              </w:rPr>
              <w:t>46496</w:t>
            </w:r>
          </w:p>
        </w:tc>
        <w:tc>
          <w:tcPr>
            <w:tcW w:w="2328" w:type="dxa"/>
            <w:tcBorders/>
            <w:shd w:fill="auto" w:val="clear"/>
            <w:tcMar>
              <w:left w:w="108" w:type="dxa"/>
            </w:tcMar>
          </w:tcPr>
          <w:p>
            <w:pPr>
              <w:pStyle w:val="Normal"/>
              <w:spacing w:lineRule="auto" w:line="240" w:before="0" w:after="0"/>
              <w:jc w:val="both"/>
              <w:rPr>
                <w:sz w:val="24"/>
                <w:szCs w:val="24"/>
                <w:lang w:val="en-US"/>
              </w:rPr>
            </w:pPr>
            <w:r>
              <w:rPr>
                <w:sz w:val="24"/>
                <w:szCs w:val="24"/>
                <w:lang w:val="en-US"/>
              </w:rPr>
              <w:t>32666</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Нерозподілений прибуток</w:t>
            </w:r>
          </w:p>
        </w:tc>
        <w:tc>
          <w:tcPr>
            <w:tcW w:w="2358" w:type="dxa"/>
            <w:tcBorders/>
            <w:shd w:fill="auto" w:val="clear"/>
            <w:tcMar>
              <w:left w:w="108" w:type="dxa"/>
            </w:tcMar>
          </w:tcPr>
          <w:p>
            <w:pPr>
              <w:pStyle w:val="Normal"/>
              <w:spacing w:lineRule="auto" w:line="240" w:before="0" w:after="0"/>
              <w:jc w:val="both"/>
              <w:rPr>
                <w:sz w:val="24"/>
                <w:szCs w:val="24"/>
                <w:lang w:val="en-US"/>
              </w:rPr>
            </w:pPr>
            <w:r>
              <w:rPr>
                <w:sz w:val="24"/>
                <w:szCs w:val="24"/>
                <w:lang w:val="en-US"/>
              </w:rPr>
              <w:t>-38075</w:t>
            </w:r>
          </w:p>
        </w:tc>
        <w:tc>
          <w:tcPr>
            <w:tcW w:w="2328" w:type="dxa"/>
            <w:tcBorders/>
            <w:shd w:fill="auto" w:val="clear"/>
            <w:tcMar>
              <w:left w:w="108" w:type="dxa"/>
            </w:tcMar>
          </w:tcPr>
          <w:p>
            <w:pPr>
              <w:pStyle w:val="Normal"/>
              <w:spacing w:lineRule="auto" w:line="240" w:before="0" w:after="0"/>
              <w:jc w:val="both"/>
              <w:rPr>
                <w:sz w:val="24"/>
                <w:szCs w:val="24"/>
                <w:lang w:val="en-US"/>
              </w:rPr>
            </w:pPr>
            <w:r>
              <w:rPr>
                <w:sz w:val="24"/>
                <w:szCs w:val="24"/>
                <w:lang w:val="en-US"/>
              </w:rPr>
              <w:t>-11058</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Власний капітал</w:t>
            </w:r>
          </w:p>
        </w:tc>
        <w:tc>
          <w:tcPr>
            <w:tcW w:w="2358" w:type="dxa"/>
            <w:tcBorders/>
            <w:shd w:fill="auto" w:val="clear"/>
            <w:tcMar>
              <w:left w:w="108" w:type="dxa"/>
            </w:tcMar>
          </w:tcPr>
          <w:p>
            <w:pPr>
              <w:pStyle w:val="Normal"/>
              <w:spacing w:lineRule="auto" w:line="240" w:before="0" w:after="0"/>
              <w:jc w:val="both"/>
              <w:rPr>
                <w:sz w:val="24"/>
                <w:szCs w:val="24"/>
              </w:rPr>
            </w:pPr>
            <w:r>
              <w:rPr>
                <w:sz w:val="24"/>
                <w:szCs w:val="24"/>
                <w:lang w:val="uk-UA"/>
              </w:rPr>
              <w:t>340598</w:t>
            </w:r>
          </w:p>
        </w:tc>
        <w:tc>
          <w:tcPr>
            <w:tcW w:w="2328" w:type="dxa"/>
            <w:tcBorders/>
            <w:shd w:fill="auto" w:val="clear"/>
            <w:tcMar>
              <w:left w:w="108" w:type="dxa"/>
            </w:tcMar>
          </w:tcPr>
          <w:p>
            <w:pPr>
              <w:pStyle w:val="Normal"/>
              <w:spacing w:lineRule="auto" w:line="240" w:before="0" w:after="0"/>
              <w:jc w:val="both"/>
              <w:rPr>
                <w:sz w:val="24"/>
                <w:szCs w:val="24"/>
              </w:rPr>
            </w:pPr>
            <w:r>
              <w:rPr>
                <w:sz w:val="24"/>
                <w:szCs w:val="24"/>
                <w:lang w:val="uk-UA"/>
              </w:rPr>
              <w:t>367615</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Зареєстрований (пайовий/статутний) капітал (грн.)</w:t>
            </w:r>
          </w:p>
        </w:tc>
        <w:tc>
          <w:tcPr>
            <w:tcW w:w="2358" w:type="dxa"/>
            <w:tcBorders/>
            <w:shd w:fill="auto" w:val="clear"/>
            <w:tcMar>
              <w:left w:w="108" w:type="dxa"/>
            </w:tcMar>
          </w:tcPr>
          <w:p>
            <w:pPr>
              <w:pStyle w:val="Normal"/>
              <w:spacing w:lineRule="auto" w:line="240" w:before="0" w:after="0"/>
              <w:jc w:val="both"/>
              <w:rPr>
                <w:sz w:val="24"/>
                <w:szCs w:val="24"/>
              </w:rPr>
            </w:pPr>
            <w:r>
              <w:rPr>
                <w:sz w:val="24"/>
                <w:szCs w:val="24"/>
                <w:lang w:val="uk-UA"/>
              </w:rPr>
              <w:t>377 262 346</w:t>
            </w:r>
          </w:p>
        </w:tc>
        <w:tc>
          <w:tcPr>
            <w:tcW w:w="2328" w:type="dxa"/>
            <w:tcBorders/>
            <w:shd w:fill="auto" w:val="clear"/>
            <w:tcMar>
              <w:left w:w="108" w:type="dxa"/>
            </w:tcMar>
          </w:tcPr>
          <w:p>
            <w:pPr>
              <w:pStyle w:val="Normal"/>
              <w:spacing w:lineRule="auto" w:line="240" w:before="0" w:after="0"/>
              <w:jc w:val="both"/>
              <w:rPr>
                <w:sz w:val="24"/>
                <w:szCs w:val="24"/>
              </w:rPr>
            </w:pPr>
            <w:r>
              <w:rPr>
                <w:sz w:val="24"/>
                <w:szCs w:val="24"/>
                <w:lang w:val="uk-UA"/>
              </w:rPr>
              <w:t>377 262 346</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Довгострокові зобов’язання і забезпечення</w:t>
            </w:r>
          </w:p>
        </w:tc>
        <w:tc>
          <w:tcPr>
            <w:tcW w:w="2358" w:type="dxa"/>
            <w:tcBorders/>
            <w:shd w:fill="auto" w:val="clear"/>
            <w:tcMar>
              <w:left w:w="108" w:type="dxa"/>
            </w:tcMar>
          </w:tcPr>
          <w:p>
            <w:pPr>
              <w:pStyle w:val="Normal"/>
              <w:spacing w:lineRule="auto" w:line="240" w:before="0" w:after="0"/>
              <w:jc w:val="both"/>
              <w:rPr>
                <w:sz w:val="24"/>
                <w:szCs w:val="24"/>
              </w:rPr>
            </w:pPr>
            <w:r>
              <w:rPr>
                <w:sz w:val="24"/>
                <w:szCs w:val="24"/>
                <w:lang w:val="uk-UA"/>
              </w:rPr>
              <w:t>10</w:t>
            </w:r>
          </w:p>
        </w:tc>
        <w:tc>
          <w:tcPr>
            <w:tcW w:w="2328" w:type="dxa"/>
            <w:tcBorders/>
            <w:shd w:fill="auto" w:val="clear"/>
            <w:tcMar>
              <w:left w:w="108" w:type="dxa"/>
            </w:tcMar>
          </w:tcPr>
          <w:p>
            <w:pPr>
              <w:pStyle w:val="Normal"/>
              <w:spacing w:lineRule="auto" w:line="240" w:before="0" w:after="0"/>
              <w:jc w:val="both"/>
              <w:rPr>
                <w:sz w:val="24"/>
                <w:szCs w:val="24"/>
              </w:rPr>
            </w:pPr>
            <w:r>
              <w:rPr>
                <w:sz w:val="24"/>
                <w:szCs w:val="24"/>
                <w:lang w:val="uk-UA"/>
              </w:rPr>
              <w:t>10</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Поточні зобов’язання і забезпечення</w:t>
            </w:r>
          </w:p>
        </w:tc>
        <w:tc>
          <w:tcPr>
            <w:tcW w:w="2358" w:type="dxa"/>
            <w:tcBorders/>
            <w:shd w:fill="auto" w:val="clear"/>
            <w:tcMar>
              <w:left w:w="108" w:type="dxa"/>
            </w:tcMar>
          </w:tcPr>
          <w:p>
            <w:pPr>
              <w:pStyle w:val="Normal"/>
              <w:spacing w:lineRule="auto" w:line="240" w:before="0" w:after="0"/>
              <w:jc w:val="both"/>
              <w:rPr>
                <w:sz w:val="24"/>
                <w:szCs w:val="24"/>
              </w:rPr>
            </w:pPr>
            <w:r>
              <w:rPr>
                <w:sz w:val="24"/>
                <w:szCs w:val="24"/>
                <w:lang w:val="uk-UA"/>
              </w:rPr>
              <w:t>82</w:t>
            </w:r>
          </w:p>
        </w:tc>
        <w:tc>
          <w:tcPr>
            <w:tcW w:w="2328" w:type="dxa"/>
            <w:tcBorders/>
            <w:shd w:fill="auto" w:val="clear"/>
            <w:tcMar>
              <w:left w:w="108" w:type="dxa"/>
            </w:tcMar>
          </w:tcPr>
          <w:p>
            <w:pPr>
              <w:pStyle w:val="Normal"/>
              <w:spacing w:lineRule="auto" w:line="240" w:before="0" w:after="0"/>
              <w:jc w:val="both"/>
              <w:rPr>
                <w:sz w:val="24"/>
                <w:szCs w:val="24"/>
              </w:rPr>
            </w:pPr>
            <w:r>
              <w:rPr>
                <w:sz w:val="24"/>
                <w:szCs w:val="24"/>
                <w:lang w:val="uk-UA"/>
              </w:rPr>
              <w:t>23</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Чистий фінансовий результат: прибуток (збиток)</w:t>
            </w:r>
          </w:p>
        </w:tc>
        <w:tc>
          <w:tcPr>
            <w:tcW w:w="2358" w:type="dxa"/>
            <w:tcBorders/>
            <w:shd w:fill="auto" w:val="clear"/>
            <w:tcMar>
              <w:left w:w="108" w:type="dxa"/>
            </w:tcMar>
          </w:tcPr>
          <w:p>
            <w:pPr>
              <w:pStyle w:val="Normal"/>
              <w:spacing w:lineRule="auto" w:line="240" w:before="0" w:after="0"/>
              <w:jc w:val="both"/>
              <w:rPr>
                <w:sz w:val="24"/>
                <w:szCs w:val="24"/>
              </w:rPr>
            </w:pPr>
            <w:r>
              <w:rPr>
                <w:sz w:val="24"/>
                <w:szCs w:val="24"/>
                <w:lang w:val="uk-UA"/>
              </w:rPr>
              <w:t>-27017</w:t>
            </w:r>
          </w:p>
        </w:tc>
        <w:tc>
          <w:tcPr>
            <w:tcW w:w="2328" w:type="dxa"/>
            <w:tcBorders/>
            <w:shd w:fill="auto" w:val="clear"/>
            <w:tcMar>
              <w:left w:w="108" w:type="dxa"/>
            </w:tcMar>
          </w:tcPr>
          <w:p>
            <w:pPr>
              <w:pStyle w:val="Normal"/>
              <w:spacing w:lineRule="auto" w:line="240" w:before="0" w:after="0"/>
              <w:jc w:val="both"/>
              <w:rPr>
                <w:sz w:val="24"/>
                <w:szCs w:val="24"/>
              </w:rPr>
            </w:pPr>
            <w:r>
              <w:rPr>
                <w:sz w:val="24"/>
                <w:szCs w:val="24"/>
                <w:lang w:val="uk-UA"/>
              </w:rPr>
              <w:t>-13733</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Середньорічна кількість акцій (шт.)</w:t>
            </w:r>
          </w:p>
        </w:tc>
        <w:tc>
          <w:tcPr>
            <w:tcW w:w="2358" w:type="dxa"/>
            <w:tcBorders/>
            <w:shd w:fill="auto" w:val="clear"/>
            <w:tcMar>
              <w:left w:w="108" w:type="dxa"/>
            </w:tcMar>
          </w:tcPr>
          <w:p>
            <w:pPr>
              <w:pStyle w:val="Normal"/>
              <w:spacing w:lineRule="auto" w:line="240" w:before="0" w:after="0"/>
              <w:jc w:val="both"/>
              <w:rPr>
                <w:sz w:val="24"/>
                <w:szCs w:val="24"/>
              </w:rPr>
            </w:pPr>
            <w:r>
              <w:rPr>
                <w:sz w:val="24"/>
                <w:szCs w:val="24"/>
                <w:lang w:val="uk-UA"/>
              </w:rPr>
              <w:t>1 509 049 384</w:t>
            </w:r>
          </w:p>
        </w:tc>
        <w:tc>
          <w:tcPr>
            <w:tcW w:w="2328" w:type="dxa"/>
            <w:tcBorders/>
            <w:shd w:fill="auto" w:val="clear"/>
            <w:tcMar>
              <w:left w:w="108" w:type="dxa"/>
            </w:tcMar>
          </w:tcPr>
          <w:p>
            <w:pPr>
              <w:pStyle w:val="Normal"/>
              <w:spacing w:lineRule="auto" w:line="240" w:before="0" w:after="0"/>
              <w:jc w:val="both"/>
              <w:rPr>
                <w:sz w:val="24"/>
                <w:szCs w:val="24"/>
              </w:rPr>
            </w:pPr>
            <w:r>
              <w:rPr>
                <w:sz w:val="24"/>
                <w:szCs w:val="24"/>
                <w:lang w:val="uk-UA"/>
              </w:rPr>
              <w:t>1 509 049 384</w:t>
            </w:r>
          </w:p>
        </w:tc>
      </w:tr>
      <w:tr>
        <w:trPr/>
        <w:tc>
          <w:tcPr>
            <w:tcW w:w="4659" w:type="dxa"/>
            <w:tcBorders/>
            <w:shd w:fill="auto" w:val="clear"/>
            <w:tcMar>
              <w:left w:w="108" w:type="dxa"/>
            </w:tcMar>
          </w:tcPr>
          <w:p>
            <w:pPr>
              <w:pStyle w:val="Normal"/>
              <w:spacing w:lineRule="auto" w:line="240" w:before="0" w:after="0"/>
              <w:rPr>
                <w:sz w:val="24"/>
                <w:szCs w:val="24"/>
              </w:rPr>
            </w:pPr>
            <w:r>
              <w:rPr>
                <w:sz w:val="24"/>
                <w:szCs w:val="24"/>
                <w:lang w:val="uk-UA"/>
              </w:rPr>
              <w:t>Чистий прибуток (збиток) на одну просту акцію (грн.)</w:t>
            </w:r>
          </w:p>
        </w:tc>
        <w:tc>
          <w:tcPr>
            <w:tcW w:w="2358" w:type="dxa"/>
            <w:tcBorders/>
            <w:shd w:fill="auto" w:val="clear"/>
            <w:tcMar>
              <w:left w:w="108" w:type="dxa"/>
            </w:tcMar>
          </w:tcPr>
          <w:p>
            <w:pPr>
              <w:pStyle w:val="Normal"/>
              <w:spacing w:lineRule="auto" w:line="240" w:before="0" w:after="0"/>
              <w:jc w:val="both"/>
              <w:rPr>
                <w:sz w:val="24"/>
                <w:szCs w:val="24"/>
              </w:rPr>
            </w:pPr>
            <w:r>
              <w:rPr>
                <w:sz w:val="24"/>
                <w:szCs w:val="24"/>
                <w:lang w:val="en-US"/>
              </w:rPr>
              <w:t>-0,0</w:t>
            </w:r>
            <w:r>
              <w:rPr>
                <w:sz w:val="24"/>
                <w:szCs w:val="24"/>
              </w:rPr>
              <w:t>18</w:t>
            </w:r>
          </w:p>
        </w:tc>
        <w:tc>
          <w:tcPr>
            <w:tcW w:w="2328" w:type="dxa"/>
            <w:tcBorders/>
            <w:shd w:fill="auto" w:val="clear"/>
            <w:tcMar>
              <w:left w:w="108" w:type="dxa"/>
            </w:tcMar>
          </w:tcPr>
          <w:p>
            <w:pPr>
              <w:pStyle w:val="Normal"/>
              <w:spacing w:lineRule="auto" w:line="240" w:before="0" w:after="0"/>
              <w:jc w:val="both"/>
              <w:rPr>
                <w:sz w:val="24"/>
                <w:szCs w:val="24"/>
              </w:rPr>
            </w:pPr>
            <w:r>
              <w:rPr>
                <w:sz w:val="24"/>
                <w:szCs w:val="24"/>
                <w:lang w:val="en-US"/>
              </w:rPr>
              <w:t>-0,00</w:t>
            </w:r>
            <w:r>
              <w:rPr>
                <w:sz w:val="24"/>
                <w:szCs w:val="24"/>
              </w:rPr>
              <w:t>91</w:t>
            </w:r>
          </w:p>
        </w:tc>
      </w:tr>
    </w:tbl>
    <w:p>
      <w:pPr>
        <w:pStyle w:val="Normal"/>
        <w:jc w:val="both"/>
        <w:rPr>
          <w:sz w:val="24"/>
          <w:szCs w:val="24"/>
          <w:lang w:val="uk-UA"/>
        </w:rPr>
      </w:pPr>
      <w:r>
        <w:rPr>
          <w:sz w:val="24"/>
          <w:szCs w:val="24"/>
          <w:lang w:val="uk-UA"/>
        </w:rPr>
      </w:r>
    </w:p>
    <w:p>
      <w:pPr>
        <w:pStyle w:val="Normal"/>
        <w:jc w:val="both"/>
        <w:rPr>
          <w:sz w:val="24"/>
          <w:szCs w:val="24"/>
          <w:lang w:val="uk-UA"/>
        </w:rPr>
      </w:pPr>
      <w:r>
        <w:rPr>
          <w:sz w:val="24"/>
          <w:szCs w:val="24"/>
          <w:lang w:val="uk-UA"/>
        </w:rPr>
      </w:r>
    </w:p>
    <w:p>
      <w:pPr>
        <w:pStyle w:val="Normal"/>
        <w:jc w:val="both"/>
        <w:rPr>
          <w:sz w:val="24"/>
          <w:szCs w:val="24"/>
          <w:lang w:val="uk-UA"/>
        </w:rPr>
      </w:pPr>
      <w:r>
        <w:rPr>
          <w:sz w:val="24"/>
          <w:szCs w:val="24"/>
          <w:lang w:val="uk-UA"/>
        </w:rPr>
        <w:t>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 Товариства, 07.11.2022:</w:t>
      </w:r>
    </w:p>
    <w:p>
      <w:pPr>
        <w:pStyle w:val="Normal"/>
        <w:jc w:val="both"/>
        <w:rPr>
          <w:sz w:val="24"/>
          <w:szCs w:val="24"/>
          <w:lang w:val="uk-UA"/>
        </w:rPr>
      </w:pPr>
      <w:r>
        <w:rPr>
          <w:sz w:val="24"/>
          <w:szCs w:val="24"/>
          <w:lang w:val="uk-UA"/>
        </w:rPr>
        <w:t>-</w:t>
        <w:tab/>
        <w:t>1 509 049 384 загальна кількість акцій;</w:t>
      </w:r>
    </w:p>
    <w:p>
      <w:pPr>
        <w:pStyle w:val="Normal"/>
        <w:jc w:val="both"/>
        <w:rPr>
          <w:sz w:val="24"/>
          <w:szCs w:val="24"/>
          <w:lang w:val="uk-UA"/>
        </w:rPr>
      </w:pPr>
      <w:r>
        <w:rPr>
          <w:sz w:val="24"/>
          <w:szCs w:val="24"/>
          <w:lang w:val="uk-UA"/>
        </w:rPr>
        <w:t>-</w:t>
        <w:tab/>
        <w:t>1 509 049 384 кількість голосуючих акцій.</w:t>
      </w:r>
    </w:p>
    <w:p>
      <w:pPr>
        <w:pStyle w:val="Normal"/>
        <w:jc w:val="both"/>
        <w:rPr>
          <w:sz w:val="24"/>
          <w:szCs w:val="24"/>
          <w:lang w:val="uk-UA"/>
        </w:rPr>
      </w:pPr>
      <w:r>
        <w:rPr>
          <w:sz w:val="24"/>
          <w:szCs w:val="24"/>
          <w:lang w:val="uk-UA"/>
        </w:rPr>
      </w:r>
    </w:p>
    <w:p>
      <w:pPr>
        <w:pStyle w:val="Normal"/>
        <w:jc w:val="both"/>
        <w:rPr>
          <w:sz w:val="24"/>
          <w:szCs w:val="24"/>
          <w:lang w:val="uk-UA"/>
        </w:rPr>
      </w:pPr>
      <w:bookmarkStart w:id="0" w:name="_GoBack"/>
      <w:bookmarkStart w:id="1" w:name="_GoBack"/>
      <w:bookmarkEnd w:id="1"/>
      <w:r>
        <w:rPr>
          <w:sz w:val="24"/>
          <w:szCs w:val="24"/>
          <w:lang w:val="uk-UA"/>
        </w:rPr>
      </w:r>
    </w:p>
    <w:p>
      <w:pPr>
        <w:pStyle w:val="Normal"/>
        <w:jc w:val="both"/>
        <w:rPr>
          <w:b/>
          <w:b/>
          <w:sz w:val="24"/>
          <w:szCs w:val="24"/>
          <w:lang w:val="uk-UA"/>
        </w:rPr>
      </w:pPr>
      <w:r>
        <w:rPr>
          <w:b/>
          <w:sz w:val="24"/>
          <w:szCs w:val="24"/>
          <w:lang w:val="uk-UA"/>
        </w:rPr>
        <w:t xml:space="preserve">Генеральний директор </w:t>
      </w:r>
    </w:p>
    <w:p>
      <w:pPr>
        <w:pStyle w:val="Normal"/>
        <w:jc w:val="both"/>
        <w:rPr>
          <w:b/>
          <w:b/>
          <w:sz w:val="24"/>
          <w:szCs w:val="24"/>
          <w:lang w:val="uk-UA"/>
        </w:rPr>
      </w:pPr>
      <w:r>
        <w:rPr>
          <w:b/>
          <w:sz w:val="24"/>
          <w:szCs w:val="24"/>
          <w:lang w:val="uk-UA"/>
        </w:rPr>
        <w:t xml:space="preserve">ПрАТ «Компанія Київенергохолдинг»                                                       </w:t>
        <w:tab/>
        <w:tab/>
        <w:t xml:space="preserve"> В.С.Найдюк</w:t>
      </w:r>
    </w:p>
    <w:p>
      <w:pPr>
        <w:pStyle w:val="Normal"/>
        <w:jc w:val="both"/>
        <w:rPr>
          <w:b/>
          <w:b/>
          <w:sz w:val="24"/>
          <w:szCs w:val="24"/>
          <w:lang w:val="uk-UA"/>
        </w:rPr>
      </w:pPr>
      <w:r>
        <w:rPr>
          <w:b/>
          <w:sz w:val="24"/>
          <w:szCs w:val="24"/>
          <w:lang w:val="uk-UA"/>
        </w:rPr>
      </w:r>
    </w:p>
    <w:p>
      <w:pPr>
        <w:pStyle w:val="NoSpacing"/>
        <w:jc w:val="both"/>
        <w:rPr>
          <w:sz w:val="24"/>
          <w:szCs w:val="24"/>
          <w:lang w:val="uk-UA"/>
        </w:rPr>
      </w:pPr>
      <w:r>
        <w:rPr>
          <w:rFonts w:eastAsia="Times New Roman" w:ascii="Times New Roman" w:hAnsi="Times New Roman"/>
          <w:b/>
          <w:sz w:val="24"/>
          <w:szCs w:val="24"/>
          <w:lang w:val="uk-UA" w:eastAsia="ar-SA"/>
        </w:rPr>
        <w:t xml:space="preserve">               </w:t>
      </w:r>
    </w:p>
    <w:p>
      <w:pPr>
        <w:pStyle w:val="Normal"/>
        <w:jc w:val="both"/>
        <w:rPr>
          <w:sz w:val="24"/>
          <w:szCs w:val="24"/>
          <w:lang w:val="uk-UA"/>
        </w:rPr>
      </w:pPr>
      <w:r>
        <w:rPr>
          <w:sz w:val="24"/>
          <w:szCs w:val="24"/>
          <w:lang w:val="uk-UA"/>
        </w:rPr>
      </w:r>
    </w:p>
    <w:p>
      <w:pPr>
        <w:pStyle w:val="Normal"/>
        <w:jc w:val="both"/>
        <w:rPr/>
      </w:pPr>
      <w:r>
        <w:rPr/>
      </w:r>
    </w:p>
    <w:sectPr>
      <w:type w:val="nextPage"/>
      <w:pgSz w:w="11906" w:h="16838"/>
      <w:pgMar w:left="720" w:right="720" w:header="0" w:top="720" w:footer="0" w:bottom="0"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ourier New">
    <w:charset w:val="cc"/>
    <w:family w:val="roman"/>
    <w:pitch w:val="variable"/>
  </w:font>
  <w:font w:name="Segoe UI">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e27ed"/>
    <w:pPr>
      <w:widowControl/>
      <w:bidi w:val="0"/>
      <w:spacing w:lineRule="auto" w:line="240" w:before="0" w:after="0"/>
      <w:jc w:val="left"/>
    </w:pPr>
    <w:rPr>
      <w:rFonts w:ascii="Times New Roman" w:hAnsi="Times New Roman" w:eastAsia="Times New Roman" w:cs="Times New Roman"/>
      <w:color w:val="auto"/>
      <w:sz w:val="20"/>
      <w:szCs w:val="20"/>
      <w:lang w:eastAsia="ru-RU" w:val="ru-RU" w:bidi="ar-SA"/>
    </w:rPr>
  </w:style>
  <w:style w:type="paragraph" w:styleId="1">
    <w:name w:val="Heading 1"/>
    <w:basedOn w:val="Normal"/>
    <w:link w:val="10"/>
    <w:qFormat/>
    <w:rsid w:val="006e27ed"/>
    <w:pPr>
      <w:keepNext/>
      <w:ind w:left="5670" w:hanging="5670"/>
      <w:outlineLvl w:val="0"/>
    </w:pPr>
    <w:rPr>
      <w:b/>
      <w:sz w:val="24"/>
    </w:rPr>
  </w:style>
  <w:style w:type="paragraph" w:styleId="2">
    <w:name w:val="Heading 2"/>
    <w:basedOn w:val="Normal"/>
    <w:link w:val="20"/>
    <w:uiPriority w:val="9"/>
    <w:semiHidden/>
    <w:unhideWhenUsed/>
    <w:qFormat/>
    <w:rsid w:val="002b252e"/>
    <w:pPr>
      <w:keepNext/>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6e27ed"/>
    <w:rPr>
      <w:rFonts w:ascii="Times New Roman" w:hAnsi="Times New Roman" w:eastAsia="Times New Roman" w:cs="Times New Roman"/>
      <w:b/>
      <w:sz w:val="24"/>
      <w:szCs w:val="20"/>
      <w:lang w:eastAsia="ru-RU"/>
    </w:rPr>
  </w:style>
  <w:style w:type="character" w:styleId="Style12" w:customStyle="1">
    <w:name w:val="Основной текст Знак"/>
    <w:basedOn w:val="DefaultParagraphFont"/>
    <w:link w:val="a3"/>
    <w:qFormat/>
    <w:rsid w:val="006e27ed"/>
    <w:rPr>
      <w:rFonts w:ascii="Times New Roman" w:hAnsi="Times New Roman" w:eastAsia="Times New Roman" w:cs="Times New Roman"/>
      <w:sz w:val="24"/>
      <w:szCs w:val="20"/>
      <w:lang w:eastAsia="ru-RU"/>
    </w:rPr>
  </w:style>
  <w:style w:type="character" w:styleId="HTML" w:customStyle="1">
    <w:name w:val="Стандартный HTML Знак"/>
    <w:basedOn w:val="DefaultParagraphFont"/>
    <w:link w:val="HTML"/>
    <w:uiPriority w:val="99"/>
    <w:semiHidden/>
    <w:qFormat/>
    <w:rsid w:val="00494a9a"/>
    <w:rPr>
      <w:rFonts w:ascii="Courier New" w:hAnsi="Courier New" w:eastAsia="Times New Roman" w:cs="Courier New"/>
      <w:sz w:val="20"/>
      <w:szCs w:val="20"/>
      <w:lang w:eastAsia="ru-RU"/>
    </w:rPr>
  </w:style>
  <w:style w:type="character" w:styleId="Appleconvertedspace" w:customStyle="1">
    <w:name w:val="apple-converted-space"/>
    <w:basedOn w:val="DefaultParagraphFont"/>
    <w:qFormat/>
    <w:rsid w:val="00df3905"/>
    <w:rPr/>
  </w:style>
  <w:style w:type="character" w:styleId="Strong">
    <w:name w:val="Strong"/>
    <w:basedOn w:val="DefaultParagraphFont"/>
    <w:uiPriority w:val="22"/>
    <w:qFormat/>
    <w:rsid w:val="005a3335"/>
    <w:rPr>
      <w:b/>
      <w:bCs/>
    </w:rPr>
  </w:style>
  <w:style w:type="character" w:styleId="Style13" w:customStyle="1">
    <w:name w:val="Текст выноски Знак"/>
    <w:basedOn w:val="DefaultParagraphFont"/>
    <w:link w:val="aa"/>
    <w:uiPriority w:val="99"/>
    <w:semiHidden/>
    <w:qFormat/>
    <w:rsid w:val="00430a17"/>
    <w:rPr>
      <w:rFonts w:ascii="Segoe UI" w:hAnsi="Segoe UI" w:eastAsia="Times New Roman" w:cs="Segoe UI"/>
      <w:sz w:val="18"/>
      <w:szCs w:val="18"/>
      <w:lang w:eastAsia="ru-RU"/>
    </w:rPr>
  </w:style>
  <w:style w:type="character" w:styleId="21" w:customStyle="1">
    <w:name w:val="Заголовок 2 Знак"/>
    <w:basedOn w:val="DefaultParagraphFont"/>
    <w:link w:val="2"/>
    <w:uiPriority w:val="9"/>
    <w:semiHidden/>
    <w:qFormat/>
    <w:rsid w:val="002b252e"/>
    <w:rPr>
      <w:rFonts w:ascii="Cambria" w:hAnsi="Cambria" w:eastAsia="" w:cs="" w:asciiTheme="majorHAnsi" w:cstheme="majorBidi" w:eastAsiaTheme="majorEastAsia" w:hAnsiTheme="majorHAnsi"/>
      <w:color w:val="365F91" w:themeColor="accent1" w:themeShade="bf"/>
      <w:sz w:val="26"/>
      <w:szCs w:val="26"/>
      <w:lang w:eastAsia="ru-RU"/>
    </w:rPr>
  </w:style>
  <w:style w:type="character" w:styleId="Style14">
    <w:name w:val="Интернет-ссылка"/>
    <w:basedOn w:val="DefaultParagraphFont"/>
    <w:uiPriority w:val="99"/>
    <w:unhideWhenUsed/>
    <w:rsid w:val="002574e0"/>
    <w:rPr>
      <w:color w:val="0000FF" w:themeColor="hyperlink"/>
      <w:u w:val="single"/>
    </w:rPr>
  </w:style>
  <w:style w:type="character" w:styleId="Style15" w:customStyle="1">
    <w:name w:val="Верхний колонтитул Знак"/>
    <w:basedOn w:val="DefaultParagraphFont"/>
    <w:link w:val="ad"/>
    <w:uiPriority w:val="99"/>
    <w:qFormat/>
    <w:rsid w:val="00b40049"/>
    <w:rPr>
      <w:rFonts w:ascii="Times New Roman" w:hAnsi="Times New Roman" w:eastAsia="Times New Roman" w:cs="Times New Roman"/>
      <w:sz w:val="20"/>
      <w:szCs w:val="20"/>
      <w:lang w:eastAsia="ru-RU"/>
    </w:rPr>
  </w:style>
  <w:style w:type="character" w:styleId="Style16" w:customStyle="1">
    <w:name w:val="Нижний колонтитул Знак"/>
    <w:basedOn w:val="DefaultParagraphFont"/>
    <w:link w:val="af"/>
    <w:uiPriority w:val="99"/>
    <w:qFormat/>
    <w:rsid w:val="00b40049"/>
    <w:rPr>
      <w:rFonts w:ascii="Times New Roman" w:hAnsi="Times New Roman" w:eastAsia="Times New Roman" w:cs="Times New Roman"/>
      <w:sz w:val="20"/>
      <w:szCs w:val="20"/>
      <w:lang w:eastAsia="ru-RU"/>
    </w:rPr>
  </w:style>
  <w:style w:type="character" w:styleId="Annotationreference">
    <w:name w:val="annotation reference"/>
    <w:basedOn w:val="DefaultParagraphFont"/>
    <w:uiPriority w:val="99"/>
    <w:semiHidden/>
    <w:unhideWhenUsed/>
    <w:qFormat/>
    <w:rsid w:val="00847cdb"/>
    <w:rPr>
      <w:sz w:val="16"/>
      <w:szCs w:val="16"/>
    </w:rPr>
  </w:style>
  <w:style w:type="character" w:styleId="Style17" w:customStyle="1">
    <w:name w:val="Текст примечания Знак"/>
    <w:basedOn w:val="DefaultParagraphFont"/>
    <w:link w:val="af2"/>
    <w:uiPriority w:val="99"/>
    <w:semiHidden/>
    <w:qFormat/>
    <w:rsid w:val="00847cdb"/>
    <w:rPr>
      <w:rFonts w:ascii="Times New Roman" w:hAnsi="Times New Roman" w:eastAsia="Times New Roman" w:cs="Times New Roman"/>
      <w:sz w:val="20"/>
      <w:szCs w:val="20"/>
      <w:lang w:eastAsia="ru-RU"/>
    </w:rPr>
  </w:style>
  <w:style w:type="character" w:styleId="Style18" w:customStyle="1">
    <w:name w:val="Тема примечания Знак"/>
    <w:basedOn w:val="Style17"/>
    <w:link w:val="af4"/>
    <w:uiPriority w:val="99"/>
    <w:semiHidden/>
    <w:qFormat/>
    <w:rsid w:val="00847cdb"/>
    <w:rPr>
      <w:rFonts w:ascii="Times New Roman" w:hAnsi="Times New Roman" w:eastAsia="Times New Roman" w:cs="Times New Roman"/>
      <w:b/>
      <w:bCs/>
      <w:sz w:val="20"/>
      <w:szCs w:val="20"/>
      <w:lang w:eastAsia="ru-RU"/>
    </w:rPr>
  </w:style>
  <w:style w:type="character" w:styleId="22" w:customStyle="1">
    <w:name w:val="Основной текст с отступом 2 Знак"/>
    <w:basedOn w:val="DefaultParagraphFont"/>
    <w:link w:val="21"/>
    <w:uiPriority w:val="99"/>
    <w:semiHidden/>
    <w:qFormat/>
    <w:rsid w:val="00e858cd"/>
    <w:rPr>
      <w:rFonts w:ascii="Times New Roman" w:hAnsi="Times New Roman" w:eastAsia="Times New Roman" w:cs="Times New Roman"/>
      <w:sz w:val="20"/>
      <w:szCs w:val="20"/>
      <w:lang w:eastAsia="ru-RU"/>
    </w:rPr>
  </w:style>
  <w:style w:type="character" w:styleId="ListLabel1">
    <w:name w:val="ListLabel 1"/>
    <w:qFormat/>
    <w:rPr>
      <w:b/>
    </w:rPr>
  </w:style>
  <w:style w:type="character" w:styleId="ListLabel2">
    <w:name w:val="ListLabel 2"/>
    <w:qFormat/>
    <w:rPr>
      <w:b/>
    </w:rPr>
  </w:style>
  <w:style w:type="character" w:styleId="ListLabel3">
    <w:name w:val="ListLabel 3"/>
    <w:qFormat/>
    <w:rPr>
      <w:rFonts w:eastAsia="Calibri" w:cs="Times New Roman"/>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Calibri" w:cs="Times New Roman"/>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b/>
      <w:sz w:val="24"/>
      <w:szCs w:val="24"/>
    </w:rPr>
  </w:style>
  <w:style w:type="character" w:styleId="ListLabel12">
    <w:name w:val="ListLabel 12"/>
    <w:qFormat/>
    <w:rPr>
      <w:b/>
    </w:rPr>
  </w:style>
  <w:style w:type="character" w:styleId="ListLabel13">
    <w:name w:val="ListLabel 13"/>
    <w:qFormat/>
    <w:rPr>
      <w:color w:val="FFFFFF"/>
    </w:rPr>
  </w:style>
  <w:style w:type="character" w:styleId="ListLabel14">
    <w:name w:val="ListLabel 14"/>
    <w:qFormat/>
    <w:rPr>
      <w:rFonts w:eastAsia="Times New Roman" w:cs="Times New Roman"/>
      <w:b/>
    </w:rPr>
  </w:style>
  <w:style w:type="character" w:styleId="ListLabel15">
    <w:name w:val="ListLabel 15"/>
    <w:qFormat/>
    <w:rPr>
      <w:b/>
      <w:strike w:val="false"/>
      <w:dstrike w:val="false"/>
      <w:u w:val="none"/>
      <w:effect w:val="none"/>
    </w:rPr>
  </w:style>
  <w:style w:type="character" w:styleId="ListLabel16">
    <w:name w:val="ListLabel 16"/>
    <w:qFormat/>
    <w:rPr>
      <w:b/>
      <w:sz w:val="24"/>
      <w:szCs w:val="24"/>
    </w:rPr>
  </w:style>
  <w:style w:type="character" w:styleId="ListLabel17">
    <w:name w:val="ListLabel 17"/>
    <w:qFormat/>
    <w:rPr>
      <w:b/>
    </w:rPr>
  </w:style>
  <w:style w:type="character" w:styleId="ListLabel18">
    <w:name w:val="ListLabel 18"/>
    <w:qFormat/>
    <w:rPr>
      <w:rFonts w:eastAsia="Times New Roman" w:cs="Times New Roman"/>
    </w:rPr>
  </w:style>
  <w:style w:type="character" w:styleId="ListLabel19">
    <w:name w:val="ListLabel 19"/>
    <w:qFormat/>
    <w:rPr>
      <w:rFonts w:eastAsia="Times New Roman"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b/>
    </w:rPr>
  </w:style>
  <w:style w:type="character" w:styleId="ListLabel24">
    <w:name w:val="ListLabel 24"/>
    <w:qFormat/>
    <w:rPr>
      <w:b/>
    </w:rPr>
  </w:style>
  <w:style w:type="paragraph" w:styleId="Style19">
    <w:name w:val="Заголовок"/>
    <w:basedOn w:val="Normal"/>
    <w:next w:val="Style20"/>
    <w:qFormat/>
    <w:pPr>
      <w:keepNext/>
      <w:spacing w:before="240" w:after="120"/>
    </w:pPr>
    <w:rPr>
      <w:rFonts w:ascii="Liberation Sans" w:hAnsi="Liberation Sans" w:eastAsia="Lucida Sans Unicode" w:cs="Mangal"/>
      <w:sz w:val="28"/>
      <w:szCs w:val="28"/>
    </w:rPr>
  </w:style>
  <w:style w:type="paragraph" w:styleId="Style20">
    <w:name w:val="Body Text"/>
    <w:basedOn w:val="Normal"/>
    <w:link w:val="a4"/>
    <w:rsid w:val="006e27ed"/>
    <w:pPr/>
    <w:rPr>
      <w:sz w:val="24"/>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NoSpacing">
    <w:name w:val="No Spacing"/>
    <w:uiPriority w:val="1"/>
    <w:qFormat/>
    <w:rsid w:val="00c40d83"/>
    <w:pPr>
      <w:widowControl/>
      <w:bidi w:val="0"/>
      <w:spacing w:lineRule="auto" w:line="240" w:before="0" w:after="0"/>
      <w:jc w:val="left"/>
    </w:pPr>
    <w:rPr>
      <w:rFonts w:ascii="Calibri" w:hAnsi="Calibri" w:eastAsia="Calibri" w:cs="" w:asciiTheme="minorHAnsi" w:cstheme="minorBidi" w:eastAsiaTheme="minorHAnsi" w:hAnsiTheme="minorHAnsi"/>
      <w:color w:val="auto"/>
      <w:sz w:val="20"/>
      <w:szCs w:val="22"/>
      <w:lang w:val="ru-RU" w:eastAsia="en-US" w:bidi="ar-SA"/>
    </w:rPr>
  </w:style>
  <w:style w:type="paragraph" w:styleId="HTMLPreformatted">
    <w:name w:val="HTML Preformatted"/>
    <w:basedOn w:val="Normal"/>
    <w:link w:val="HTML0"/>
    <w:uiPriority w:val="99"/>
    <w:semiHidden/>
    <w:unhideWhenUsed/>
    <w:qFormat/>
    <w:rsid w:val="00494a9a"/>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NormalWeb">
    <w:name w:val="Normal (Web)"/>
    <w:basedOn w:val="Normal"/>
    <w:uiPriority w:val="99"/>
    <w:semiHidden/>
    <w:unhideWhenUsed/>
    <w:qFormat/>
    <w:rsid w:val="00df3905"/>
    <w:pPr>
      <w:spacing w:beforeAutospacing="1" w:afterAutospacing="1"/>
    </w:pPr>
    <w:rPr>
      <w:sz w:val="24"/>
      <w:szCs w:val="24"/>
      <w:lang w:val="uk-UA" w:eastAsia="uk-UA"/>
    </w:rPr>
  </w:style>
  <w:style w:type="paragraph" w:styleId="ListParagraph">
    <w:name w:val="List Paragraph"/>
    <w:basedOn w:val="Normal"/>
    <w:uiPriority w:val="34"/>
    <w:qFormat/>
    <w:rsid w:val="005a2fdb"/>
    <w:pPr>
      <w:spacing w:lineRule="auto" w:line="252" w:before="0" w:after="160"/>
      <w:ind w:left="720" w:hanging="0"/>
      <w:contextualSpacing/>
    </w:pPr>
    <w:rPr>
      <w:rFonts w:ascii="Calibri" w:hAnsi="Calibri" w:eastAsia="Calibri" w:cs="" w:asciiTheme="minorHAnsi" w:cstheme="minorBidi" w:eastAsiaTheme="minorHAnsi" w:hAnsiTheme="minorHAnsi"/>
      <w:sz w:val="22"/>
      <w:szCs w:val="22"/>
      <w:lang w:val="uk-UA" w:eastAsia="en-US"/>
    </w:rPr>
  </w:style>
  <w:style w:type="paragraph" w:styleId="BalloonText">
    <w:name w:val="Balloon Text"/>
    <w:basedOn w:val="Normal"/>
    <w:link w:val="ab"/>
    <w:uiPriority w:val="99"/>
    <w:semiHidden/>
    <w:unhideWhenUsed/>
    <w:qFormat/>
    <w:rsid w:val="00430a17"/>
    <w:pPr/>
    <w:rPr>
      <w:rFonts w:ascii="Segoe UI" w:hAnsi="Segoe UI" w:cs="Segoe UI"/>
      <w:sz w:val="18"/>
      <w:szCs w:val="18"/>
    </w:rPr>
  </w:style>
  <w:style w:type="paragraph" w:styleId="Style24">
    <w:name w:val="Header"/>
    <w:basedOn w:val="Normal"/>
    <w:link w:val="ae"/>
    <w:uiPriority w:val="99"/>
    <w:unhideWhenUsed/>
    <w:rsid w:val="00b40049"/>
    <w:pPr>
      <w:tabs>
        <w:tab w:val="center" w:pos="4677" w:leader="none"/>
        <w:tab w:val="right" w:pos="9355" w:leader="none"/>
      </w:tabs>
    </w:pPr>
    <w:rPr/>
  </w:style>
  <w:style w:type="paragraph" w:styleId="Style25">
    <w:name w:val="Footer"/>
    <w:basedOn w:val="Normal"/>
    <w:link w:val="af0"/>
    <w:uiPriority w:val="99"/>
    <w:unhideWhenUsed/>
    <w:rsid w:val="00b40049"/>
    <w:pPr>
      <w:tabs>
        <w:tab w:val="center" w:pos="4677" w:leader="none"/>
        <w:tab w:val="right" w:pos="9355" w:leader="none"/>
      </w:tabs>
    </w:pPr>
    <w:rPr/>
  </w:style>
  <w:style w:type="paragraph" w:styleId="Annotationtext">
    <w:name w:val="annotation text"/>
    <w:basedOn w:val="Normal"/>
    <w:link w:val="af3"/>
    <w:uiPriority w:val="99"/>
    <w:semiHidden/>
    <w:unhideWhenUsed/>
    <w:qFormat/>
    <w:rsid w:val="00847cdb"/>
    <w:pPr/>
    <w:rPr/>
  </w:style>
  <w:style w:type="paragraph" w:styleId="Annotationsubject">
    <w:name w:val="annotation subject"/>
    <w:basedOn w:val="Annotationtext"/>
    <w:link w:val="af5"/>
    <w:uiPriority w:val="99"/>
    <w:semiHidden/>
    <w:unhideWhenUsed/>
    <w:qFormat/>
    <w:rsid w:val="00847cdb"/>
    <w:pPr/>
    <w:rPr>
      <w:b/>
      <w:bCs/>
    </w:rPr>
  </w:style>
  <w:style w:type="paragraph" w:styleId="BodyTextIndent2">
    <w:name w:val="Body Text Indent 2"/>
    <w:basedOn w:val="Normal"/>
    <w:link w:val="22"/>
    <w:uiPriority w:val="99"/>
    <w:semiHidden/>
    <w:unhideWhenUsed/>
    <w:qFormat/>
    <w:rsid w:val="00e858cd"/>
    <w:pPr>
      <w:spacing w:lineRule="auto" w:line="480" w:before="0" w:after="120"/>
      <w:ind w:left="283"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uiPriority w:val="39"/>
    <w:rsid w:val="005a2fdb"/>
    <w:pPr>
      <w:spacing w:after="0" w:line="240" w:lineRule="auto"/>
    </w:pPr>
    <w:rPr>
      <w:lang w:val="uk-UA"/>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kievenergoholding.com.ua/" TargetMode="External"/><Relationship Id="rId3" Type="http://schemas.openxmlformats.org/officeDocument/2006/relationships/hyperlink" Target="http://kievenergoholding.com.ua/"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BEF0-FC28-4D21-AAEA-902080A7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LibreOffice/5.2.2.2$Windows_x86 LibreOffice_project/8f96e87c890bf8fa77463cd4b640a2312823f3ad</Application>
  <Pages>6</Pages>
  <Words>1669</Words>
  <Characters>11435</Characters>
  <CharactersWithSpaces>13093</CharactersWithSpaces>
  <Paragraphs>100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2022-11-09T11:07:00Z</dcterms:created>
  <dc:creator>Admin</dc:creator>
  <dc:description/>
  <dc:language>ru-RU</dc:language>
  <cp:lastModifiedBy>Олександра Євгеніївна Богач</cp:lastModifiedBy>
  <cp:lastPrinted>2022-11-02T07:03:00Z</cp:lastPrinted>
  <dcterms:modified xsi:type="dcterms:W3CDTF">2022-11-09T11:54:00Z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